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Działając na podstawie art. 11 i art. 13 -15 ustawy z dnia 24 kwietnia 2003 r. o działalności pożytku publicznego i o wolontariacie (</w:t>
      </w:r>
      <w:r>
        <w:rPr>
          <w:rFonts w:cs="Arial" w:ascii="Arial" w:hAnsi="Arial"/>
          <w:b w:val="false"/>
          <w:sz w:val="20"/>
          <w:szCs w:val="20"/>
        </w:rPr>
        <w:t>Dz.U. z 2022 r., poz. 1327 ze zm.)</w:t>
      </w:r>
    </w:p>
    <w:p>
      <w:pPr>
        <w:pStyle w:val="Normal"/>
        <w:jc w:val="center"/>
        <w:rPr>
          <w:rFonts w:ascii="Arial" w:hAnsi="Arial" w:cs="Arial"/>
          <w:color w:val="FF0000"/>
          <w:sz w:val="20"/>
          <w:szCs w:val="20"/>
        </w:rPr>
      </w:pPr>
      <w:r>
        <w:rPr>
          <w:rFonts w:cs="Arial" w:ascii="Arial" w:hAnsi="Arial"/>
          <w:color w:val="FF0000"/>
          <w:sz w:val="20"/>
          <w:szCs w:val="20"/>
        </w:rPr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jc w:val="center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PREZYDENT MIASTA TYCHY</w:t>
      </w:r>
    </w:p>
    <w:p>
      <w:pPr>
        <w:pStyle w:val="Normal"/>
        <w:jc w:val="center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OGŁASZA:</w:t>
      </w:r>
    </w:p>
    <w:p>
      <w:pPr>
        <w:pStyle w:val="Normal"/>
        <w:spacing w:before="120" w:after="120"/>
        <w:jc w:val="center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otwarty konkurs ofert na realizację zadania publicznego w 2023 roku w zakresie:</w:t>
      </w:r>
    </w:p>
    <w:p>
      <w:pPr>
        <w:pStyle w:val="Normal"/>
        <w:spacing w:before="120" w:after="12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spacing w:before="120" w:after="12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bCs/>
          <w:color w:val="000000"/>
          <w:sz w:val="20"/>
          <w:szCs w:val="20"/>
        </w:rPr>
        <w:t xml:space="preserve">- </w:t>
      </w:r>
      <w:r>
        <w:rPr>
          <w:rFonts w:cs="Arial" w:ascii="Arial" w:hAnsi="Arial"/>
          <w:b w:val="false"/>
          <w:bCs w:val="false"/>
          <w:color w:val="000000"/>
          <w:sz w:val="20"/>
          <w:szCs w:val="20"/>
        </w:rPr>
        <w:t>pomocy społecznej, w tym pomoc rodzinom i osobom w trudnej sytuacji życiowej oraz wyrównywania szans tych rodzin i osób</w:t>
      </w:r>
    </w:p>
    <w:p>
      <w:pPr>
        <w:pStyle w:val="Normal"/>
        <w:spacing w:before="120" w:after="120"/>
        <w:jc w:val="both"/>
        <w:rPr/>
      </w:pPr>
      <w:r>
        <w:rPr>
          <w:rStyle w:val="Domylnaczcionkaakapitu"/>
          <w:rFonts w:cs="Arial" w:ascii="Arial" w:hAnsi="Arial"/>
          <w:b w:val="false"/>
          <w:bCs w:val="false"/>
          <w:color w:val="000000"/>
          <w:sz w:val="20"/>
          <w:szCs w:val="20"/>
        </w:rPr>
        <w:t>w ramach Programu Operacyjnego Pomoc Żywnościowa 2014-2020 współfinansowanego z Europejskiego Funduszu Pomocy Najbardziej Potrzebującym w Podprogramie 2021 Plus</w:t>
      </w:r>
    </w:p>
    <w:p>
      <w:pPr>
        <w:pStyle w:val="ListParagraph"/>
        <w:spacing w:before="120" w:after="120"/>
        <w:ind w:left="1788" w:right="0" w:hanging="0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spacing w:before="120" w:after="120"/>
        <w:jc w:val="center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w formie powierzenia wykonywania zadania publicznego, wraz z udzieleniem dotacji na sfinansowanie jego realizacji.</w:t>
      </w:r>
    </w:p>
    <w:p>
      <w:pPr>
        <w:pStyle w:val="Normal"/>
        <w:spacing w:before="120" w:after="12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spacing w:before="120" w:after="120"/>
        <w:jc w:val="center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Celem konkursu jest wyłonienie realizatora zadania publicznego w ww. obszarze</w:t>
      </w:r>
    </w:p>
    <w:p>
      <w:pPr>
        <w:pStyle w:val="Normal"/>
        <w:spacing w:before="120" w:after="120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tabs>
          <w:tab w:val="clear" w:pos="708"/>
          <w:tab w:val="center" w:pos="4536" w:leader="none"/>
          <w:tab w:val="right" w:pos="9072" w:leader="none"/>
        </w:tabs>
        <w:jc w:val="left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sz w:val="20"/>
          <w:szCs w:val="20"/>
          <w:u w:val="single"/>
        </w:rPr>
        <w:t>Z uwagi na sytuację epidemiczną związaną z rozprzestrzenianiem się wirusa SARS–CoV-2:</w:t>
      </w:r>
    </w:p>
    <w:p>
      <w:pPr>
        <w:pStyle w:val="ListParagraph"/>
        <w:tabs>
          <w:tab w:val="clear" w:pos="708"/>
          <w:tab w:val="center" w:pos="4536" w:leader="none"/>
          <w:tab w:val="right" w:pos="9072" w:leader="none"/>
        </w:tabs>
        <w:rPr>
          <w:rFonts w:ascii="Arial" w:hAnsi="Arial" w:cs="Arial"/>
          <w:b/>
          <w:b/>
          <w:sz w:val="20"/>
          <w:szCs w:val="20"/>
          <w:u w:val="single"/>
        </w:rPr>
      </w:pPr>
      <w:r>
        <w:rPr>
          <w:rFonts w:cs="Arial" w:ascii="Arial" w:hAnsi="Arial"/>
          <w:b/>
          <w:sz w:val="20"/>
          <w:szCs w:val="20"/>
          <w:u w:val="single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- Oferent zobowiązany jest do podjęcia wszelkich działań mających na celu zapewnienie bezpieczeństwa uczestnikom i realizatorom zadania publicznego, zgodnie z wytycznymi wydawanymi przez właściwe organy.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tbl>
      <w:tblPr>
        <w:tblW w:w="9491" w:type="dxa"/>
        <w:jc w:val="left"/>
        <w:tblInd w:w="56" w:type="dxa"/>
        <w:tblLayout w:type="fixed"/>
        <w:tblCellMar>
          <w:top w:w="0" w:type="dxa"/>
          <w:left w:w="5" w:type="dxa"/>
          <w:bottom w:w="0" w:type="dxa"/>
          <w:right w:w="98" w:type="dxa"/>
        </w:tblCellMar>
      </w:tblPr>
      <w:tblGrid>
        <w:gridCol w:w="9491"/>
      </w:tblGrid>
      <w:tr>
        <w:trPr/>
        <w:tc>
          <w:tcPr>
            <w:tcW w:w="94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BFBFBF" w:val="clear"/>
          </w:tcPr>
          <w:p>
            <w:pPr>
              <w:pStyle w:val="Normal"/>
              <w:widowControl w:val="false"/>
              <w:spacing w:before="120" w:after="12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</w:rPr>
              <w:t>I. RODZAJ ZADANIA</w:t>
            </w:r>
          </w:p>
        </w:tc>
      </w:tr>
    </w:tbl>
    <w:p>
      <w:pPr>
        <w:pStyle w:val="Normal"/>
        <w:numPr>
          <w:ilvl w:val="0"/>
          <w:numId w:val="4"/>
        </w:numPr>
        <w:spacing w:before="120" w:after="12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 w:val="false"/>
          <w:bCs w:val="false"/>
          <w:color w:val="000000"/>
          <w:sz w:val="20"/>
          <w:szCs w:val="20"/>
        </w:rPr>
        <w:t xml:space="preserve">Nazwa zadania: </w:t>
      </w:r>
      <w:r>
        <w:rPr>
          <w:rFonts w:cs="Arial" w:ascii="Arial" w:hAnsi="Arial"/>
          <w:b/>
          <w:bCs/>
          <w:color w:val="000000"/>
          <w:sz w:val="20"/>
          <w:szCs w:val="20"/>
        </w:rPr>
        <w:t>Dystrybucja żywności do osób i rodzin najbardziej potrzebujących oraz prowadzenie działań w ramach środków towarzyszących mających na celu wzmacnianie samodzielności i kompetencji w prowadzeniu gospodarstwa domowego.</w:t>
      </w:r>
    </w:p>
    <w:p>
      <w:pPr>
        <w:pStyle w:val="Normal"/>
        <w:numPr>
          <w:ilvl w:val="0"/>
          <w:numId w:val="4"/>
        </w:numPr>
        <w:spacing w:before="120" w:after="120"/>
        <w:jc w:val="both"/>
        <w:rPr/>
      </w:pPr>
      <w:r>
        <w:rPr>
          <w:rStyle w:val="Domylnaczcionkaakapitu"/>
          <w:rFonts w:cs="Arial" w:ascii="Arial" w:hAnsi="Arial"/>
          <w:b/>
          <w:bCs/>
          <w:color w:val="000000"/>
          <w:sz w:val="20"/>
          <w:szCs w:val="20"/>
          <w:u w:val="none"/>
        </w:rPr>
        <w:t>Opis zadania:</w:t>
      </w:r>
    </w:p>
    <w:p>
      <w:pPr>
        <w:pStyle w:val="Normal"/>
        <w:numPr>
          <w:ilvl w:val="0"/>
          <w:numId w:val="0"/>
        </w:numPr>
        <w:spacing w:before="120" w:after="120"/>
        <w:ind w:left="720" w:hanging="0"/>
        <w:jc w:val="both"/>
        <w:rPr/>
      </w:pPr>
      <w:r>
        <w:rPr>
          <w:rStyle w:val="Domylnaczcionkaakapitu"/>
          <w:rFonts w:cs="Arial" w:ascii="Arial" w:hAnsi="Arial"/>
          <w:b w:val="false"/>
          <w:bCs w:val="false"/>
          <w:color w:val="000000"/>
          <w:sz w:val="20"/>
          <w:szCs w:val="20"/>
        </w:rPr>
        <w:t>2.1</w:t>
      </w:r>
      <w:r>
        <w:rPr>
          <w:rStyle w:val="Domylnaczcionkaakapitu"/>
          <w:rFonts w:cs="Arial" w:ascii="Arial" w:hAnsi="Arial"/>
          <w:b/>
          <w:bCs/>
          <w:color w:val="000000"/>
          <w:sz w:val="20"/>
          <w:szCs w:val="20"/>
        </w:rPr>
        <w:t xml:space="preserve"> </w:t>
      </w:r>
      <w:r>
        <w:rPr>
          <w:rStyle w:val="Domylnaczcionkaakapitu"/>
          <w:rFonts w:cs="Arial" w:ascii="Arial" w:hAnsi="Arial"/>
          <w:color w:val="000000"/>
          <w:sz w:val="20"/>
          <w:szCs w:val="20"/>
        </w:rPr>
        <w:t>Dostarczanie artykułów spożywczych do odbiorców końcowych, tj. osób i rodzin znajdujących się w trudnej sytuacji życiowej, dopuszczającej korzystanie z pomocy społecznej z powodów wskazanych w art. 7 ustawy z dnia 12 marca 2004 r. o pomocy społecznej, których dochód nie przekracza odpowiedniego kryterium dochodowego;</w:t>
      </w:r>
    </w:p>
    <w:p>
      <w:pPr>
        <w:pStyle w:val="Normal"/>
        <w:numPr>
          <w:ilvl w:val="0"/>
          <w:numId w:val="0"/>
        </w:numPr>
        <w:spacing w:before="120" w:after="120"/>
        <w:ind w:left="720" w:hanging="0"/>
        <w:jc w:val="both"/>
        <w:rPr/>
      </w:pPr>
      <w:r>
        <w:rPr>
          <w:rStyle w:val="Domylnaczcionkaakapitu"/>
          <w:rFonts w:cs="Arial" w:ascii="Arial" w:hAnsi="Arial"/>
          <w:b w:val="false"/>
          <w:bCs w:val="false"/>
          <w:color w:val="000000"/>
          <w:sz w:val="20"/>
          <w:szCs w:val="20"/>
        </w:rPr>
        <w:t>2.2</w:t>
      </w:r>
      <w:r>
        <w:rPr>
          <w:rStyle w:val="Domylnaczcionkaakapitu"/>
          <w:rFonts w:cs="Arial" w:ascii="Arial" w:hAnsi="Arial"/>
          <w:b/>
          <w:bCs/>
          <w:color w:val="000000"/>
          <w:sz w:val="20"/>
          <w:szCs w:val="20"/>
        </w:rPr>
        <w:t xml:space="preserve"> </w:t>
      </w:r>
      <w:r>
        <w:rPr>
          <w:rStyle w:val="Domylnaczcionkaakapitu"/>
          <w:rFonts w:cs="Arial" w:ascii="Arial" w:hAnsi="Arial"/>
          <w:b w:val="false"/>
          <w:bCs w:val="false"/>
          <w:color w:val="000000"/>
          <w:sz w:val="20"/>
          <w:szCs w:val="20"/>
        </w:rPr>
        <w:t>R</w:t>
      </w:r>
      <w:r>
        <w:rPr>
          <w:rStyle w:val="Domylnaczcionkaakapitu"/>
          <w:rFonts w:cs="Arial" w:ascii="Arial" w:hAnsi="Arial"/>
          <w:color w:val="000000"/>
          <w:sz w:val="20"/>
          <w:szCs w:val="20"/>
        </w:rPr>
        <w:t>ealizacja działań mających na celu wzmacnianie samodzielności i kompetencji</w:t>
        <w:br/>
        <w:t>w zakresie prowadzenia gospodarstwa domowego:</w:t>
      </w:r>
    </w:p>
    <w:p>
      <w:pPr>
        <w:pStyle w:val="Normal"/>
        <w:spacing w:before="120" w:after="120"/>
        <w:ind w:left="1080" w:right="0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 w:val="false"/>
          <w:bCs w:val="false"/>
          <w:color w:val="000000"/>
          <w:sz w:val="20"/>
          <w:szCs w:val="20"/>
        </w:rPr>
        <w:t>a)</w:t>
      </w:r>
      <w:r>
        <w:rPr>
          <w:rFonts w:cs="Arial" w:ascii="Arial" w:hAnsi="Arial"/>
          <w:b/>
          <w:bCs/>
          <w:color w:val="000000"/>
          <w:sz w:val="20"/>
          <w:szCs w:val="20"/>
        </w:rPr>
        <w:t xml:space="preserve"> </w:t>
      </w:r>
      <w:r>
        <w:rPr>
          <w:rFonts w:cs="Arial" w:ascii="Arial" w:hAnsi="Arial"/>
          <w:color w:val="000000"/>
          <w:sz w:val="20"/>
          <w:szCs w:val="20"/>
        </w:rPr>
        <w:t>warsztaty kulinarne dla różnych grup pokoleniowych z udziałem ekspertów kulinarnych, kuchmistrzów, dietetyków, pokazujące różne możliwości przygotowania potraw i wykorzystania artykułów spożywczych,</w:t>
      </w:r>
    </w:p>
    <w:p>
      <w:pPr>
        <w:pStyle w:val="Normal"/>
        <w:spacing w:before="120" w:after="120"/>
        <w:ind w:left="1080" w:right="0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 w:val="false"/>
          <w:bCs w:val="false"/>
          <w:color w:val="000000"/>
          <w:sz w:val="20"/>
          <w:szCs w:val="20"/>
        </w:rPr>
        <w:t xml:space="preserve">b) </w:t>
      </w:r>
      <w:r>
        <w:rPr>
          <w:rFonts w:cs="Arial" w:ascii="Arial" w:hAnsi="Arial"/>
          <w:color w:val="000000"/>
          <w:sz w:val="20"/>
          <w:szCs w:val="20"/>
        </w:rPr>
        <w:t>warsztaty dietetyczne i dotyczące zdrowego żywienia,</w:t>
      </w:r>
    </w:p>
    <w:p>
      <w:pPr>
        <w:pStyle w:val="Normal"/>
        <w:spacing w:before="120" w:after="120"/>
        <w:ind w:left="1080" w:right="0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 w:val="false"/>
          <w:bCs w:val="false"/>
          <w:color w:val="000000"/>
          <w:sz w:val="20"/>
          <w:szCs w:val="20"/>
        </w:rPr>
        <w:t xml:space="preserve">c) </w:t>
      </w:r>
      <w:r>
        <w:rPr>
          <w:rFonts w:cs="Arial" w:ascii="Arial" w:hAnsi="Arial"/>
          <w:color w:val="000000"/>
          <w:sz w:val="20"/>
          <w:szCs w:val="20"/>
        </w:rPr>
        <w:t>programy edukacyjne mające na celu zapoznanie z zasadami zdrowego odżywiania</w:t>
        <w:br/>
        <w:t>i przeciwdziałania marnowaniu żywności,</w:t>
      </w:r>
    </w:p>
    <w:p>
      <w:pPr>
        <w:pStyle w:val="Normal"/>
        <w:spacing w:before="120" w:after="120"/>
        <w:ind w:left="1080" w:right="0" w:hanging="0"/>
        <w:jc w:val="both"/>
        <w:rPr/>
      </w:pPr>
      <w:r>
        <w:rPr>
          <w:rStyle w:val="Domylnaczcionkaakapitu"/>
          <w:rFonts w:cs="Arial" w:ascii="Arial" w:hAnsi="Arial"/>
          <w:b w:val="false"/>
          <w:bCs w:val="false"/>
          <w:color w:val="000000"/>
          <w:sz w:val="20"/>
          <w:szCs w:val="20"/>
        </w:rPr>
        <w:t>d)</w:t>
      </w:r>
      <w:r>
        <w:rPr>
          <w:rStyle w:val="Domylnaczcionkaakapitu"/>
          <w:rFonts w:cs="Arial" w:ascii="Arial" w:hAnsi="Arial"/>
          <w:b/>
          <w:bCs/>
          <w:color w:val="000000"/>
          <w:sz w:val="20"/>
          <w:szCs w:val="20"/>
        </w:rPr>
        <w:t xml:space="preserve"> </w:t>
      </w:r>
      <w:r>
        <w:rPr>
          <w:rStyle w:val="Domylnaczcionkaakapitu"/>
          <w:rFonts w:cs="Arial" w:ascii="Arial" w:hAnsi="Arial"/>
          <w:b w:val="false"/>
          <w:bCs w:val="false"/>
          <w:color w:val="000000"/>
          <w:sz w:val="20"/>
          <w:szCs w:val="20"/>
        </w:rPr>
        <w:t>warsztaty edukacji ekonomicznej (nauka tworzenia, realizacji i kontroli realizacji  budżetu domowego, ekonomicznego prowadzenia gospodarstwa domowego, z uwzględnieniem wszystkich finansowych i rzeczowych dochodów rodziny, w tym darów żywnościowych).</w:t>
      </w:r>
    </w:p>
    <w:p>
      <w:pPr>
        <w:pStyle w:val="Normal"/>
        <w:spacing w:before="120" w:after="120"/>
        <w:ind w:left="708" w:right="0" w:hanging="0"/>
        <w:jc w:val="both"/>
        <w:rPr/>
      </w:pPr>
      <w:r>
        <w:rPr>
          <w:rStyle w:val="Domylnaczcionkaakapitu"/>
          <w:rFonts w:cs="Arial" w:ascii="Arial" w:hAnsi="Arial"/>
          <w:b w:val="false"/>
          <w:bCs w:val="false"/>
          <w:color w:val="000000"/>
          <w:sz w:val="20"/>
          <w:szCs w:val="20"/>
          <w:u w:val="none"/>
        </w:rPr>
        <w:t xml:space="preserve">2.3 </w:t>
      </w:r>
      <w:r>
        <w:rPr>
          <w:rStyle w:val="Domylnaczcionkaakapitu"/>
          <w:rFonts w:cs="Arial" w:ascii="Arial" w:hAnsi="Arial"/>
          <w:b/>
          <w:bCs/>
          <w:color w:val="000000"/>
          <w:sz w:val="20"/>
          <w:szCs w:val="20"/>
          <w:u w:val="none"/>
        </w:rPr>
        <w:t xml:space="preserve"> </w:t>
      </w:r>
      <w:r>
        <w:rPr>
          <w:rStyle w:val="Domylnaczcionkaakapitu"/>
          <w:rFonts w:cs="Arial" w:ascii="Arial" w:hAnsi="Arial"/>
          <w:b w:val="false"/>
          <w:bCs w:val="false"/>
          <w:i/>
          <w:iCs/>
          <w:color w:val="000000"/>
          <w:sz w:val="20"/>
          <w:szCs w:val="20"/>
          <w:u w:val="single"/>
        </w:rPr>
        <w:t>Cel zadania</w:t>
      </w:r>
      <w:r>
        <w:rPr>
          <w:rStyle w:val="Domylnaczcionkaakapitu"/>
          <w:rFonts w:cs="Arial" w:ascii="Arial" w:hAnsi="Arial"/>
          <w:b w:val="false"/>
          <w:bCs w:val="false"/>
          <w:i w:val="false"/>
          <w:iCs w:val="false"/>
          <w:color w:val="000000"/>
          <w:sz w:val="20"/>
          <w:szCs w:val="20"/>
          <w:u w:val="none"/>
        </w:rPr>
        <w:t>: Zapewnienie najuboższym mieszkańcom Polski pomocy żywnościowej oraz uczestnictwa  w działaniach w ramach środków towarzyszących w okresie realizacji umowy.</w:t>
      </w:r>
    </w:p>
    <w:p>
      <w:pPr>
        <w:pStyle w:val="Normal"/>
        <w:numPr>
          <w:ilvl w:val="0"/>
          <w:numId w:val="4"/>
        </w:numPr>
        <w:spacing w:before="120" w:after="12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  <w:t>Obowiązkowe wskaźniki i rezultaty realizacji zadania</w:t>
      </w:r>
    </w:p>
    <w:p>
      <w:pPr>
        <w:pStyle w:val="ListParagraph"/>
        <w:ind w:left="708" w:right="0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3.1 W zakresie dystrybucji artykułów spożywczych:</w:t>
      </w:r>
    </w:p>
    <w:p>
      <w:pPr>
        <w:pStyle w:val="ListParagraph"/>
        <w:widowControl/>
        <w:numPr>
          <w:ilvl w:val="0"/>
          <w:numId w:val="8"/>
        </w:numPr>
        <w:suppressAutoHyphens w:val="true"/>
        <w:overflowPunct w:val="false"/>
        <w:bidi w:val="0"/>
        <w:spacing w:before="0" w:after="0"/>
        <w:ind w:left="680" w:right="0" w:firstLine="397"/>
        <w:jc w:val="both"/>
        <w:rPr>
          <w:rFonts w:ascii="Arial" w:hAnsi="Arial"/>
          <w:sz w:val="20"/>
          <w:szCs w:val="20"/>
        </w:rPr>
      </w:pPr>
      <w:r>
        <w:rPr>
          <w:rFonts w:eastAsia="Calibri" w:cs="Arial" w:ascii="Arial" w:hAnsi="Arial"/>
          <w:b w:val="false"/>
          <w:bCs w:val="false"/>
          <w:color w:val="000000"/>
          <w:sz w:val="20"/>
          <w:szCs w:val="20"/>
        </w:rPr>
        <w:t>liczba osób objętych pomocą żywnościową  (wymagane 1300 osób).</w:t>
      </w:r>
    </w:p>
    <w:p>
      <w:pPr>
        <w:pStyle w:val="ListParagraph"/>
        <w:ind w:left="1788" w:right="0" w:hanging="0"/>
        <w:jc w:val="both"/>
        <w:rPr>
          <w:rFonts w:ascii="Arial" w:hAnsi="Arial" w:cs="Arial"/>
          <w:b w:val="false"/>
          <w:b w:val="false"/>
          <w:bCs w:val="false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</w:r>
    </w:p>
    <w:p>
      <w:pPr>
        <w:pStyle w:val="ListParagraph"/>
        <w:ind w:left="708" w:right="0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3.2 W zakresie działań w ramach środków towarzyszących wymagane jest:</w:t>
      </w:r>
    </w:p>
    <w:p>
      <w:pPr>
        <w:pStyle w:val="ListParagraph"/>
        <w:numPr>
          <w:ilvl w:val="0"/>
          <w:numId w:val="7"/>
        </w:numPr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przeprowadzenie co najmniej po jednym warsztacie z wymienionych w pkt 2.2 lit. a, b, d,</w:t>
      </w:r>
    </w:p>
    <w:p>
      <w:pPr>
        <w:pStyle w:val="ListParagraph"/>
        <w:numPr>
          <w:ilvl w:val="0"/>
          <w:numId w:val="7"/>
        </w:numPr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zrealizowanie co najmniej jednego programu opisanego w pkt 2.2 lit. c.</w:t>
      </w:r>
    </w:p>
    <w:p>
      <w:pPr>
        <w:pStyle w:val="ListParagraph"/>
        <w:numPr>
          <w:ilvl w:val="0"/>
          <w:numId w:val="0"/>
        </w:numPr>
        <w:ind w:left="1854" w:right="0" w:hanging="0"/>
        <w:jc w:val="both"/>
        <w:rPr>
          <w:rFonts w:cs="Arial"/>
          <w:b w:val="false"/>
          <w:b w:val="false"/>
          <w:bCs w:val="false"/>
        </w:rPr>
      </w:pPr>
      <w:r>
        <w:rPr>
          <w:rFonts w:cs="Arial"/>
          <w:b w:val="false"/>
          <w:bCs w:val="false"/>
        </w:rPr>
      </w:r>
    </w:p>
    <w:tbl>
      <w:tblPr>
        <w:tblW w:w="9633" w:type="dxa"/>
        <w:jc w:val="left"/>
        <w:tblInd w:w="-111" w:type="dxa"/>
        <w:tblLayout w:type="fixed"/>
        <w:tblCellMar>
          <w:top w:w="0" w:type="dxa"/>
          <w:left w:w="5" w:type="dxa"/>
          <w:bottom w:w="0" w:type="dxa"/>
          <w:right w:w="98" w:type="dxa"/>
        </w:tblCellMar>
      </w:tblPr>
      <w:tblGrid>
        <w:gridCol w:w="9633"/>
      </w:tblGrid>
      <w:tr>
        <w:trPr/>
        <w:tc>
          <w:tcPr>
            <w:tcW w:w="96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D9D9D9" w:val="clear"/>
          </w:tcPr>
          <w:p>
            <w:pPr>
              <w:pStyle w:val="Pkt"/>
              <w:widowControl w:val="false"/>
              <w:spacing w:before="60" w:after="60"/>
              <w:ind w:left="0" w:right="0" w:hanging="0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</w:rPr>
              <w:t xml:space="preserve">II. Wysokość środków publicznych przeznaczonych na realizację zadania w roku </w:t>
            </w:r>
            <w:r>
              <w:rPr>
                <w:rFonts w:eastAsia="Times New Roman" w:cs="Arial" w:ascii="Arial" w:hAnsi="Arial"/>
                <w:b/>
                <w:sz w:val="20"/>
                <w:szCs w:val="20"/>
                <w:u w:val="single"/>
              </w:rPr>
              <w:t>2022</w:t>
            </w:r>
            <w:r>
              <w:rPr>
                <w:rFonts w:eastAsia="Times New Roman" w:cs="Arial" w:ascii="Arial" w:hAnsi="Arial"/>
                <w:b/>
                <w:sz w:val="20"/>
                <w:szCs w:val="20"/>
              </w:rPr>
              <w:t xml:space="preserve"> oraz wysokości dotacji przekazanej organizacjom pozarządowym i podmiotom, o których mowa w art. 3 ust. 3 ustawy o działalności pożytku publicznego i o wolontariacie na realizację zadania w latach: 2019/2020, 2020/2021, 2022</w:t>
            </w:r>
          </w:p>
        </w:tc>
      </w:tr>
    </w:tbl>
    <w:p>
      <w:pPr>
        <w:pStyle w:val="Normal"/>
        <w:spacing w:before="120" w:after="120"/>
        <w:ind w:left="0" w:right="0" w:hanging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tbl>
      <w:tblPr>
        <w:tblW w:w="9575" w:type="dxa"/>
        <w:jc w:val="left"/>
        <w:tblInd w:w="-39" w:type="dxa"/>
        <w:tblLayout w:type="fixed"/>
        <w:tblCellMar>
          <w:top w:w="55" w:type="dxa"/>
          <w:left w:w="2" w:type="dxa"/>
          <w:bottom w:w="55" w:type="dxa"/>
          <w:right w:w="50" w:type="dxa"/>
        </w:tblCellMar>
      </w:tblPr>
      <w:tblGrid>
        <w:gridCol w:w="1300"/>
        <w:gridCol w:w="2982"/>
        <w:gridCol w:w="2972"/>
        <w:gridCol w:w="2320"/>
      </w:tblGrid>
      <w:tr>
        <w:trPr/>
        <w:tc>
          <w:tcPr>
            <w:tcW w:w="13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FFFFFF" w:val="clear"/>
          </w:tcPr>
          <w:p>
            <w:pPr>
              <w:pStyle w:val="Zawartotabeli"/>
              <w:widowControl w:val="false"/>
              <w:jc w:val="center"/>
              <w:rPr>
                <w:rFonts w:ascii="Arial" w:hAnsi="Arial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ascii="Arial" w:hAnsi="Arial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29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FFFFFF" w:val="clear"/>
          </w:tcPr>
          <w:p>
            <w:pPr>
              <w:pStyle w:val="Zawartotabeli"/>
              <w:widowControl w:val="false"/>
              <w:jc w:val="center"/>
              <w:rPr>
                <w:rFonts w:ascii="Arial" w:hAnsi="Arial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ascii="Arial" w:hAnsi="Arial"/>
                <w:b w:val="false"/>
                <w:bCs w:val="false"/>
                <w:sz w:val="20"/>
                <w:szCs w:val="20"/>
              </w:rPr>
              <w:t>2019/2020 rok</w:t>
            </w:r>
          </w:p>
        </w:tc>
        <w:tc>
          <w:tcPr>
            <w:tcW w:w="29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FFFFFF" w:val="clear"/>
          </w:tcPr>
          <w:p>
            <w:pPr>
              <w:pStyle w:val="Zawartotabeli"/>
              <w:widowControl w:val="false"/>
              <w:jc w:val="center"/>
              <w:rPr>
                <w:rFonts w:ascii="Arial" w:hAnsi="Arial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ascii="Arial" w:hAnsi="Arial"/>
                <w:b w:val="false"/>
                <w:bCs w:val="false"/>
                <w:sz w:val="20"/>
                <w:szCs w:val="20"/>
              </w:rPr>
              <w:t>2020/2021</w:t>
            </w:r>
          </w:p>
        </w:tc>
        <w:tc>
          <w:tcPr>
            <w:tcW w:w="23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</w:tcPr>
          <w:p>
            <w:pPr>
              <w:pStyle w:val="Zawartotabeli"/>
              <w:widowControl w:val="false"/>
              <w:jc w:val="center"/>
              <w:rPr>
                <w:rFonts w:ascii="Arial" w:hAnsi="Arial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ascii="Arial" w:hAnsi="Arial"/>
                <w:b w:val="false"/>
                <w:bCs w:val="false"/>
                <w:sz w:val="20"/>
                <w:szCs w:val="20"/>
              </w:rPr>
              <w:t>2022</w:t>
            </w:r>
          </w:p>
        </w:tc>
      </w:tr>
      <w:tr>
        <w:trPr/>
        <w:tc>
          <w:tcPr>
            <w:tcW w:w="13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FFFFFF" w:val="clear"/>
          </w:tcPr>
          <w:p>
            <w:pPr>
              <w:pStyle w:val="Zawartotabeli"/>
              <w:widowControl w:val="false"/>
              <w:spacing w:before="120" w:after="120"/>
              <w:jc w:val="center"/>
              <w:rPr>
                <w:rFonts w:ascii="Arial" w:hAnsi="Arial" w:cs="Arial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20"/>
                <w:szCs w:val="20"/>
              </w:rPr>
              <w:t>ZADANIE</w:t>
            </w:r>
          </w:p>
        </w:tc>
        <w:tc>
          <w:tcPr>
            <w:tcW w:w="8274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</w:tcPr>
          <w:p>
            <w:pPr>
              <w:pStyle w:val="Normal"/>
              <w:widowControl w:val="false"/>
              <w:suppressAutoHyphens w:val="true"/>
              <w:spacing w:before="120" w:after="120"/>
              <w:ind w:left="0" w:right="0" w:hanging="0"/>
              <w:jc w:val="center"/>
              <w:rPr>
                <w:rFonts w:ascii="Arial" w:hAnsi="Arial" w:cs="Arial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20"/>
                <w:szCs w:val="20"/>
                <w:u w:val="none"/>
              </w:rPr>
              <w:t>Dystrybucja żywności do osób i rodzin najbardziej potrzebujących oraz prowadzenie działań w ramach środków towarzyszących mających na celu wzmacnianie samodzielności i kompetencji w prowadzeniu gospodarstwa domowego</w:t>
            </w:r>
          </w:p>
        </w:tc>
      </w:tr>
      <w:tr>
        <w:trPr/>
        <w:tc>
          <w:tcPr>
            <w:tcW w:w="1300" w:type="dxa"/>
            <w:tcBorders>
              <w:left w:val="single" w:sz="2" w:space="0" w:color="000001"/>
              <w:bottom w:val="single" w:sz="2" w:space="0" w:color="000001"/>
            </w:tcBorders>
            <w:shd w:fill="FFFFFF" w:val="clear"/>
          </w:tcPr>
          <w:p>
            <w:pPr>
              <w:pStyle w:val="Zawartotabeli"/>
              <w:widowControl w:val="false"/>
              <w:jc w:val="center"/>
              <w:rPr>
                <w:rFonts w:ascii="Arial" w:hAnsi="Arial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ascii="Arial" w:hAnsi="Arial"/>
                <w:b w:val="false"/>
                <w:bCs w:val="false"/>
                <w:sz w:val="20"/>
                <w:szCs w:val="20"/>
              </w:rPr>
              <w:t>KWOTA</w:t>
            </w:r>
          </w:p>
        </w:tc>
        <w:tc>
          <w:tcPr>
            <w:tcW w:w="2982" w:type="dxa"/>
            <w:tcBorders>
              <w:left w:val="single" w:sz="2" w:space="0" w:color="000001"/>
              <w:bottom w:val="single" w:sz="2" w:space="0" w:color="000001"/>
            </w:tcBorders>
            <w:shd w:fill="FFFFFF" w:val="clear"/>
          </w:tcPr>
          <w:p>
            <w:pPr>
              <w:pStyle w:val="Zawartotabeli"/>
              <w:widowControl w:val="false"/>
              <w:jc w:val="center"/>
              <w:rPr>
                <w:rFonts w:ascii="Arial" w:hAnsi="Arial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ascii="Arial" w:hAnsi="Arial"/>
                <w:b w:val="false"/>
                <w:bCs w:val="false"/>
                <w:sz w:val="20"/>
                <w:szCs w:val="20"/>
              </w:rPr>
              <w:t>34 977,89 zł</w:t>
            </w:r>
          </w:p>
        </w:tc>
        <w:tc>
          <w:tcPr>
            <w:tcW w:w="2972" w:type="dxa"/>
            <w:tcBorders>
              <w:left w:val="single" w:sz="2" w:space="0" w:color="000001"/>
              <w:bottom w:val="single" w:sz="2" w:space="0" w:color="000001"/>
            </w:tcBorders>
            <w:shd w:fill="FFFFFF" w:val="clear"/>
          </w:tcPr>
          <w:p>
            <w:pPr>
              <w:pStyle w:val="Zawartotabeli"/>
              <w:widowControl w:val="false"/>
              <w:jc w:val="center"/>
              <w:rPr>
                <w:rFonts w:ascii="Arial" w:hAnsi="Arial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ascii="Arial" w:hAnsi="Arial"/>
                <w:b w:val="false"/>
                <w:bCs w:val="false"/>
                <w:sz w:val="20"/>
                <w:szCs w:val="20"/>
              </w:rPr>
              <w:t>37 583,65 zł</w:t>
            </w:r>
          </w:p>
        </w:tc>
        <w:tc>
          <w:tcPr>
            <w:tcW w:w="232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FFFFFF" w:val="clear"/>
          </w:tcPr>
          <w:p>
            <w:pPr>
              <w:pStyle w:val="Zawartotabeli"/>
              <w:widowControl w:val="false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b w:val="false"/>
                <w:bCs w:val="false"/>
                <w:sz w:val="20"/>
                <w:szCs w:val="20"/>
              </w:rPr>
              <w:t>40 500,00 zł</w:t>
            </w:r>
          </w:p>
          <w:p>
            <w:pPr>
              <w:pStyle w:val="Zawartotabeli"/>
              <w:widowControl w:val="false"/>
              <w:jc w:val="center"/>
              <w:rPr>
                <w:rFonts w:ascii="Arial" w:hAnsi="Arial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ascii="Arial" w:hAnsi="Arial"/>
                <w:b w:val="false"/>
                <w:bCs w:val="false"/>
                <w:sz w:val="20"/>
                <w:szCs w:val="20"/>
              </w:rPr>
            </w:r>
          </w:p>
        </w:tc>
      </w:tr>
    </w:tbl>
    <w:p>
      <w:pPr>
        <w:pStyle w:val="Normal"/>
        <w:widowControl/>
        <w:bidi w:val="0"/>
        <w:spacing w:before="120" w:after="120"/>
        <w:ind w:left="0" w:right="0" w:hanging="0"/>
        <w:jc w:val="both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widowControl/>
        <w:numPr>
          <w:ilvl w:val="0"/>
          <w:numId w:val="5"/>
        </w:numPr>
        <w:bidi w:val="0"/>
        <w:spacing w:before="120" w:after="120"/>
        <w:jc w:val="both"/>
        <w:rPr/>
      </w:pPr>
      <w:r>
        <w:rPr>
          <w:rStyle w:val="Domylnaczcionkaakapitu"/>
          <w:rFonts w:cs="Arial" w:ascii="Arial" w:hAnsi="Arial"/>
          <w:b w:val="false"/>
          <w:bCs w:val="false"/>
          <w:color w:val="000000"/>
          <w:sz w:val="20"/>
          <w:szCs w:val="20"/>
        </w:rPr>
        <w:t>Przewidywana kwota dotacji na realizację zadania  w 2023 roku wynosi:</w:t>
      </w:r>
      <w:r>
        <w:rPr>
          <w:rStyle w:val="Domylnaczcionkaakapitu"/>
          <w:rFonts w:cs="Arial" w:ascii="Arial" w:hAnsi="Arial"/>
          <w:b/>
          <w:bCs/>
          <w:color w:val="000000"/>
          <w:sz w:val="20"/>
          <w:szCs w:val="20"/>
        </w:rPr>
        <w:t xml:space="preserve"> 41 000,00 zł</w:t>
      </w:r>
    </w:p>
    <w:p>
      <w:pPr>
        <w:pStyle w:val="Normal"/>
        <w:widowControl/>
        <w:numPr>
          <w:ilvl w:val="0"/>
          <w:numId w:val="5"/>
        </w:numPr>
        <w:bidi w:val="0"/>
        <w:spacing w:before="120" w:after="12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Zasady przyznawania dotacji </w:t>
      </w:r>
    </w:p>
    <w:p>
      <w:pPr>
        <w:pStyle w:val="Normal"/>
        <w:widowControl/>
        <w:numPr>
          <w:ilvl w:val="1"/>
          <w:numId w:val="5"/>
        </w:numPr>
        <w:bidi w:val="0"/>
        <w:spacing w:before="120" w:after="12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Postępowanie konkursowe odbywać się będzie z uwzględnieniem zasad określonych w ustawie z dnia 24 kwietnia 2003 roku o działalności pożytku publicznego</w:t>
        <w:br/>
        <w:t>i o wolontariacie,</w:t>
      </w:r>
    </w:p>
    <w:p>
      <w:pPr>
        <w:pStyle w:val="Normal"/>
        <w:widowControl/>
        <w:numPr>
          <w:ilvl w:val="1"/>
          <w:numId w:val="5"/>
        </w:numPr>
        <w:bidi w:val="0"/>
        <w:spacing w:before="120" w:after="12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W konkursie mogą brać udział organizacje pozarządowe oraz podmioty określone w art. 3 ust. 3 ustawy z dnia 24 kwietnia 2003 r. o działalności pożytku publicznego i o wolontariacie, jeżeli ich cele statutowe obejmują prowadzenie działalności w obszarze zgodnym z zakresem na jaki składają ofertę,</w:t>
      </w:r>
    </w:p>
    <w:p>
      <w:pPr>
        <w:pStyle w:val="Normal"/>
        <w:widowControl/>
        <w:numPr>
          <w:ilvl w:val="1"/>
          <w:numId w:val="5"/>
        </w:numPr>
        <w:bidi w:val="0"/>
        <w:spacing w:before="120" w:after="12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Oddziały terenowe nie posiadające osobowości prawnej nie mogą samodzielnie ubiegać się o dotację. W takiej sytuacji mogą złożyć ofertę za pośrednictwem zarządu głównego lub oddziału posiadającego osobowość prawną, natomiast oddział upoważniony do bezpośredniego wykonania zadania powinien być wskazany w ofercie, </w:t>
      </w:r>
    </w:p>
    <w:p>
      <w:pPr>
        <w:pStyle w:val="Normal"/>
        <w:widowControl/>
        <w:numPr>
          <w:ilvl w:val="1"/>
          <w:numId w:val="5"/>
        </w:numPr>
        <w:bidi w:val="0"/>
        <w:spacing w:before="120" w:after="12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Dwie lub więcej organizacji pozarządowych lub podmioty wymienione w art. 3 ust. 3 ustawy o działalności pożytku publicznego i o wolontariacie działające wspólnie mogą złożyć ofertę wspólną,</w:t>
      </w:r>
    </w:p>
    <w:p>
      <w:pPr>
        <w:pStyle w:val="Normal"/>
        <w:widowControl/>
        <w:numPr>
          <w:ilvl w:val="1"/>
          <w:numId w:val="5"/>
        </w:numPr>
        <w:bidi w:val="0"/>
        <w:spacing w:before="120" w:after="12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Nie dopuszcza się możliwości wyboru kilku ofert na realizację zadania, złożonych przez jednego lub różnych oferentów,</w:t>
      </w:r>
    </w:p>
    <w:p>
      <w:pPr>
        <w:pStyle w:val="Normal"/>
        <w:widowControl/>
        <w:numPr>
          <w:ilvl w:val="1"/>
          <w:numId w:val="5"/>
        </w:numPr>
        <w:bidi w:val="0"/>
        <w:spacing w:before="120" w:after="12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Organizator konkursu zastrzega sobie możliwość zmniejszenia wielkości finansowania oraz wskazania na jakie pozycje kosztorysu ma być ono przeznaczone, </w:t>
      </w:r>
    </w:p>
    <w:p>
      <w:pPr>
        <w:pStyle w:val="Normal"/>
        <w:widowControl/>
        <w:numPr>
          <w:ilvl w:val="1"/>
          <w:numId w:val="5"/>
        </w:numPr>
        <w:bidi w:val="0"/>
        <w:spacing w:before="120" w:after="12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Organizator konkursu zastrzega sobie możliwość wskazania na jakie pozycje kosztorysu ma być przeznaczone finansowanie, </w:t>
      </w:r>
    </w:p>
    <w:p>
      <w:pPr>
        <w:pStyle w:val="Normal"/>
        <w:widowControl/>
        <w:numPr>
          <w:ilvl w:val="1"/>
          <w:numId w:val="5"/>
        </w:numPr>
        <w:bidi w:val="0"/>
        <w:spacing w:before="120" w:after="12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W przypadku zaistnienia sytuacji opisanej w punkcie f i g warunkiem zawarcia umowy będzie dostarczenie zaktualizowanego kosztorysu </w:t>
      </w:r>
      <w:r>
        <w:rPr>
          <w:rFonts w:cs="Arial" w:ascii="Arial" w:hAnsi="Arial"/>
          <w:sz w:val="20"/>
          <w:szCs w:val="20"/>
          <w:shd w:fill="auto" w:val="clear"/>
        </w:rPr>
        <w:t>(oraz, jeśli konieczne, planu/ harmonogramu)</w:t>
        <w:br/>
        <w:t>i określonych rezultatów,</w:t>
      </w:r>
    </w:p>
    <w:p>
      <w:pPr>
        <w:pStyle w:val="Normal"/>
        <w:widowControl/>
        <w:numPr>
          <w:ilvl w:val="1"/>
          <w:numId w:val="5"/>
        </w:numPr>
        <w:bidi w:val="0"/>
        <w:spacing w:before="120" w:after="12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  <w:shd w:fill="auto" w:val="clear"/>
        </w:rPr>
        <w:t>Or</w:t>
      </w:r>
      <w:r>
        <w:rPr>
          <w:rFonts w:cs="Arial" w:ascii="Arial" w:hAnsi="Arial"/>
          <w:sz w:val="20"/>
          <w:szCs w:val="20"/>
        </w:rPr>
        <w:t>ganizator zastrzega sobie prawo do s</w:t>
      </w:r>
      <w:r>
        <w:rPr>
          <w:rFonts w:cs="Arial" w:ascii="Arial" w:hAnsi="Arial"/>
          <w:sz w:val="20"/>
          <w:szCs w:val="20"/>
          <w:shd w:fill="FFFFFF" w:val="clear"/>
        </w:rPr>
        <w:t>fi</w:t>
      </w:r>
      <w:r>
        <w:rPr>
          <w:rFonts w:cs="Arial" w:ascii="Arial" w:hAnsi="Arial"/>
          <w:sz w:val="20"/>
          <w:szCs w:val="20"/>
        </w:rPr>
        <w:t>nansowania tylko jednej oferty z najwyższą liczbą punktów.</w:t>
      </w:r>
    </w:p>
    <w:p>
      <w:pPr>
        <w:pStyle w:val="Normal"/>
        <w:widowControl/>
        <w:numPr>
          <w:ilvl w:val="0"/>
          <w:numId w:val="5"/>
        </w:numPr>
        <w:bidi w:val="0"/>
        <w:spacing w:before="120" w:after="12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Dotację należy przeznaczyć na pokrycie kosztów niezbędnych do realizacji zadania, z wyłączeniem wydatków o charakterze </w:t>
      </w:r>
      <w:r>
        <w:rPr>
          <w:rFonts w:cs="Arial" w:ascii="Arial" w:hAnsi="Arial"/>
          <w:iCs/>
          <w:sz w:val="20"/>
          <w:szCs w:val="20"/>
        </w:rPr>
        <w:t xml:space="preserve">inwestycyjnym </w:t>
      </w:r>
      <w:r>
        <w:rPr>
          <w:rFonts w:cs="Arial" w:ascii="Arial" w:hAnsi="Arial"/>
          <w:sz w:val="20"/>
          <w:szCs w:val="20"/>
        </w:rPr>
        <w:t>oraz odsetek z tytułu niezapłaconych w terminie zobowiązań.</w:t>
      </w:r>
    </w:p>
    <w:p>
      <w:pPr>
        <w:pStyle w:val="Normal"/>
        <w:widowControl/>
        <w:numPr>
          <w:ilvl w:val="0"/>
          <w:numId w:val="5"/>
        </w:numPr>
        <w:bidi w:val="0"/>
        <w:spacing w:before="120" w:after="12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W przypadku kosztów wynagrodzenia personelu, w tym kosztów osobowych administracji i obsługi  zadania oraz kosztów osobowych merytorycznych, </w:t>
      </w:r>
    </w:p>
    <w:p>
      <w:pPr>
        <w:pStyle w:val="Normal"/>
        <w:numPr>
          <w:ilvl w:val="0"/>
          <w:numId w:val="16"/>
        </w:numPr>
        <w:spacing w:before="60" w:after="6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kwalifikowalne są wszystkie składniki wynagrodzenia, tj. w szczególności: wynagrodzenia netto, składki na ubezpieczenia społeczne i zdrowotne, zaliczka na podatek dochodowy. Płace nie mogą przekraczać wydatków normalnie ponoszonych przez Oferenta, zaś przyjęte stawki nie mogą być wyższe od stawek powszechnie stosowanych na danym rynku,</w:t>
      </w:r>
    </w:p>
    <w:p>
      <w:pPr>
        <w:pStyle w:val="Normal"/>
        <w:numPr>
          <w:ilvl w:val="0"/>
          <w:numId w:val="16"/>
        </w:numPr>
        <w:spacing w:before="60" w:after="6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niekwalifikowalne są nagrody, premie i inne formy bonifikaty rzeczowej lub finansowej dla osób zajmujących się realizacją zadania.</w:t>
      </w:r>
    </w:p>
    <w:p>
      <w:pPr>
        <w:pStyle w:val="Normal"/>
        <w:numPr>
          <w:ilvl w:val="0"/>
          <w:numId w:val="17"/>
        </w:numPr>
        <w:spacing w:before="60" w:after="6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Kwota dotacji:</w:t>
      </w:r>
    </w:p>
    <w:p>
      <w:pPr>
        <w:pStyle w:val="Normal"/>
        <w:numPr>
          <w:ilvl w:val="0"/>
          <w:numId w:val="0"/>
        </w:numPr>
        <w:spacing w:before="60" w:after="60"/>
        <w:ind w:left="720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a) wykorzystana niezgodnie z przeznaczeniem,</w:t>
      </w:r>
    </w:p>
    <w:p>
      <w:pPr>
        <w:pStyle w:val="Normal"/>
        <w:numPr>
          <w:ilvl w:val="0"/>
          <w:numId w:val="0"/>
        </w:numPr>
        <w:spacing w:before="60" w:after="60"/>
        <w:ind w:left="720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b) pobrana nienależnie lub w nadmiernej wysokości</w:t>
      </w:r>
    </w:p>
    <w:p>
      <w:pPr>
        <w:pStyle w:val="Normal"/>
        <w:numPr>
          <w:ilvl w:val="0"/>
          <w:numId w:val="0"/>
        </w:numPr>
        <w:spacing w:before="60" w:after="60"/>
        <w:ind w:left="708" w:right="0" w:hanging="0"/>
        <w:jc w:val="both"/>
        <w:rPr>
          <w:rFonts w:ascii="Arial" w:hAnsi="Arial"/>
          <w:sz w:val="20"/>
          <w:szCs w:val="20"/>
        </w:rPr>
      </w:pPr>
      <w:r>
        <w:rPr>
          <w:rFonts w:eastAsia="Calibri" w:cs="Arial" w:ascii="Arial" w:hAnsi="Arial"/>
          <w:sz w:val="20"/>
          <w:szCs w:val="20"/>
          <w:lang w:eastAsia="en-US"/>
        </w:rPr>
        <w:t>- podlega zwrotowi wraz z odsetkami w wysokości określonej jak dla zaległości podatkowych, na zasadach określonych w przepisach o finansach publicznych.</w:t>
      </w:r>
    </w:p>
    <w:p>
      <w:pPr>
        <w:pStyle w:val="Normal"/>
        <w:numPr>
          <w:ilvl w:val="0"/>
          <w:numId w:val="6"/>
        </w:numPr>
        <w:spacing w:before="60" w:after="60"/>
        <w:jc w:val="both"/>
        <w:rPr>
          <w:rFonts w:ascii="Arial" w:hAnsi="Arial"/>
          <w:sz w:val="20"/>
          <w:szCs w:val="20"/>
        </w:rPr>
      </w:pPr>
      <w:r>
        <w:rPr>
          <w:rFonts w:eastAsia="Calibri" w:cs="Arial" w:ascii="Arial" w:hAnsi="Arial"/>
          <w:sz w:val="20"/>
          <w:szCs w:val="20"/>
          <w:lang w:eastAsia="en-US"/>
        </w:rPr>
        <w:t>W ramach środków finansowych miasta Tychy niedozwolone jest podwójne finansowanie wydatku czyli zrefundowanie całkowite lub częściowe danego wydatku dwa razy ze środków publicznych, zarówno krajowych, jak i wspólnotowych.</w:t>
      </w:r>
    </w:p>
    <w:p>
      <w:pPr>
        <w:pStyle w:val="Normal"/>
        <w:numPr>
          <w:ilvl w:val="0"/>
          <w:numId w:val="6"/>
        </w:numPr>
        <w:spacing w:before="60" w:after="60"/>
        <w:jc w:val="both"/>
        <w:rPr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Do realizacji za</w:t>
      </w:r>
      <w:r>
        <w:rPr>
          <w:rFonts w:cs="Arial" w:ascii="Arial" w:hAnsi="Arial"/>
          <w:b w:val="false"/>
          <w:bCs w:val="false"/>
          <w:sz w:val="20"/>
          <w:szCs w:val="20"/>
          <w:shd w:fill="FFFFFF" w:val="clear"/>
        </w:rPr>
        <w:t>dania nie jest wyma</w:t>
      </w:r>
      <w:r>
        <w:rPr>
          <w:rFonts w:cs="Arial" w:ascii="Arial" w:hAnsi="Arial"/>
          <w:b w:val="false"/>
          <w:bCs w:val="false"/>
          <w:sz w:val="20"/>
          <w:szCs w:val="20"/>
        </w:rPr>
        <w:t>gany wkład finansowy organizacji.</w:t>
      </w:r>
    </w:p>
    <w:p>
      <w:pPr>
        <w:pStyle w:val="Normal"/>
        <w:numPr>
          <w:ilvl w:val="0"/>
          <w:numId w:val="6"/>
        </w:numPr>
        <w:spacing w:before="60" w:after="6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  <w:u w:val="none"/>
        </w:rPr>
        <w:t>We wzorze oferty Część III – Opis zadania, punkt 5 i 6 Opis zakładanych rezultatów oraz dodatkowe informacje dotyczące rezultatów realizacji zadania publicznego – są obowiązkowe do wypełnienia. Z uwagi na obowiązek rozliczenia się Oferenta z rezultatów zadań, wykazane rezultaty zadań publicznych powinny być mierzalne i spójne z rezultatami wskazanymi w opisie zadania w części: „Obowiązkowe wskaźniki i rezultaty  realizacji zadania”.</w:t>
      </w:r>
    </w:p>
    <w:p>
      <w:pPr>
        <w:pStyle w:val="Normal"/>
        <w:numPr>
          <w:ilvl w:val="0"/>
          <w:numId w:val="0"/>
        </w:numPr>
        <w:spacing w:before="60" w:after="60"/>
        <w:ind w:left="720" w:hanging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tbl>
      <w:tblPr>
        <w:tblW w:w="9566" w:type="dxa"/>
        <w:jc w:val="left"/>
        <w:tblInd w:w="-11" w:type="dxa"/>
        <w:tblLayout w:type="fixed"/>
        <w:tblCellMar>
          <w:top w:w="0" w:type="dxa"/>
          <w:left w:w="5" w:type="dxa"/>
          <w:bottom w:w="0" w:type="dxa"/>
          <w:right w:w="98" w:type="dxa"/>
        </w:tblCellMar>
      </w:tblPr>
      <w:tblGrid>
        <w:gridCol w:w="9566"/>
      </w:tblGrid>
      <w:tr>
        <w:trPr/>
        <w:tc>
          <w:tcPr>
            <w:tcW w:w="9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D9D9D9" w:val="clear"/>
          </w:tcPr>
          <w:p>
            <w:pPr>
              <w:pStyle w:val="Pkt"/>
              <w:widowControl w:val="false"/>
              <w:spacing w:before="60" w:after="60"/>
              <w:ind w:left="0" w:right="0" w:hanging="0"/>
              <w:jc w:val="center"/>
              <w:rPr>
                <w:rFonts w:ascii="Arial" w:hAnsi="Arial" w:eastAsia="Times New Roman" w:cs="Arial"/>
                <w:b/>
                <w:b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</w:rPr>
              <w:t>III. Termin i warunki realizacji zadania</w:t>
            </w:r>
          </w:p>
        </w:tc>
      </w:tr>
    </w:tbl>
    <w:p>
      <w:pPr>
        <w:pStyle w:val="Pkt"/>
        <w:spacing w:before="0" w:after="0"/>
        <w:ind w:left="227" w:right="0" w:hanging="227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widowControl/>
        <w:numPr>
          <w:ilvl w:val="1"/>
          <w:numId w:val="1"/>
        </w:numPr>
        <w:suppressAutoHyphens w:val="true"/>
        <w:overflowPunct w:val="false"/>
        <w:bidi w:val="0"/>
        <w:spacing w:before="0" w:after="0"/>
        <w:ind w:left="737" w:right="0" w:hanging="34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Termin realizacji zadania: </w:t>
      </w:r>
      <w:r>
        <w:rPr>
          <w:rFonts w:cs="Arial" w:ascii="Arial" w:hAnsi="Arial"/>
          <w:b/>
          <w:bCs/>
          <w:sz w:val="20"/>
          <w:szCs w:val="20"/>
        </w:rPr>
        <w:t>od podpisania umowy do 31 sierpnia 2023 roku.</w:t>
      </w:r>
    </w:p>
    <w:p>
      <w:pPr>
        <w:pStyle w:val="Normal"/>
        <w:widowControl/>
        <w:numPr>
          <w:ilvl w:val="1"/>
          <w:numId w:val="1"/>
        </w:numPr>
        <w:suppressAutoHyphens w:val="true"/>
        <w:overflowPunct w:val="false"/>
        <w:bidi w:val="0"/>
        <w:spacing w:before="0" w:after="0"/>
        <w:ind w:left="737" w:right="0" w:hanging="34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Miejsce realizacji zadania: magazyn przy ul. Norwida 2, 43-100 Tychy.</w:t>
      </w:r>
    </w:p>
    <w:p>
      <w:pPr>
        <w:pStyle w:val="Normal"/>
        <w:widowControl/>
        <w:numPr>
          <w:ilvl w:val="1"/>
          <w:numId w:val="1"/>
        </w:numPr>
        <w:suppressAutoHyphens w:val="true"/>
        <w:overflowPunct w:val="false"/>
        <w:bidi w:val="0"/>
        <w:spacing w:before="0" w:after="0"/>
        <w:ind w:left="737" w:right="0" w:hanging="34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Warunkiem przekazania dotacji jest zawarcie umowy pomiędzy miastem Tychy a podmiotem składającym ofertę. </w:t>
      </w:r>
    </w:p>
    <w:p>
      <w:pPr>
        <w:pStyle w:val="Normal"/>
        <w:widowControl/>
        <w:numPr>
          <w:ilvl w:val="1"/>
          <w:numId w:val="1"/>
        </w:numPr>
        <w:suppressAutoHyphens w:val="true"/>
        <w:overflowPunct w:val="false"/>
        <w:bidi w:val="0"/>
        <w:spacing w:before="0" w:after="0"/>
        <w:ind w:left="737" w:right="0" w:hanging="340"/>
        <w:jc w:val="both"/>
        <w:rPr/>
      </w:pPr>
      <w:r>
        <w:rPr>
          <w:rStyle w:val="Domylnaczcionkaakapitu"/>
          <w:rFonts w:cs="Arial" w:ascii="Arial" w:hAnsi="Arial"/>
          <w:color w:val="000000"/>
          <w:sz w:val="20"/>
          <w:szCs w:val="20"/>
        </w:rPr>
        <w:t xml:space="preserve">Zadanie powinno być realizowane zgodnie z zawartą umową, w zakresie opisanym w ofercie oraz zgodnie z obowiązującymi standardami i przepisami. Szczegółowy sposób realizacji zadania oraz formy finansowania zadania określają wytyczne Instytucji Zarządzającej (MRPiPS) dla Instytucji Pośredniczącej i beneficjentów dotyczące działań realizowanych w ramach Programu Operacyjnego Pomoc Żywnościowa 2014-2020 współfinansowanego z Europejskiego Funduszu Pomocy Najbardziej Potrzebującym w Podprogramie 2021 ze zmianami (w tym ze zmianami dot. Podprogramu 2021 Plus) – dalej zwane również: „Wytycznymi”. Podmiot realizujący zadanie zobowiązany będzie do współpracy z OPR (organizacją partnerską regionalną) w zakresie działań realizowanych w ramach programu POPŻ, w tym do dystrybucji i działań  w ramach środków towarzyszących. W ramach wyznaczonych standardów podmiot, niebędący jednocześnie zamawiającym w rozumieniu ustawy Pzp,  który w celu realizacji zadania będzie korzystał z usług podmiotów zewnętrznych, zobowiązany będzie do przestrzegania zasad udzielania zamówień zgodnie z załącznikiem </w:t>
      </w:r>
      <w:r>
        <w:rPr>
          <w:rStyle w:val="Domylnaczcionkaakapitu"/>
          <w:rFonts w:cs="Arial" w:ascii="Arial" w:hAnsi="Arial"/>
          <w:color w:val="auto"/>
          <w:sz w:val="20"/>
          <w:szCs w:val="20"/>
        </w:rPr>
        <w:t xml:space="preserve">nr 13 do w/w Wytycznych. </w:t>
      </w:r>
    </w:p>
    <w:p>
      <w:pPr>
        <w:pStyle w:val="Normal"/>
        <w:widowControl/>
        <w:numPr>
          <w:ilvl w:val="1"/>
          <w:numId w:val="1"/>
        </w:numPr>
        <w:suppressAutoHyphens w:val="true"/>
        <w:overflowPunct w:val="false"/>
        <w:bidi w:val="0"/>
        <w:spacing w:before="0" w:after="0"/>
        <w:ind w:left="737" w:right="0" w:hanging="34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Dotowany podmiot jest zobowiązany do prowadzenia wyodrębnionej ewidencji księgowej środków otrzymanych z dotacji oraz wydatków dokonywanych z tych środków.</w:t>
      </w:r>
    </w:p>
    <w:p>
      <w:pPr>
        <w:pStyle w:val="Normal"/>
        <w:widowControl/>
        <w:numPr>
          <w:ilvl w:val="1"/>
          <w:numId w:val="1"/>
        </w:numPr>
        <w:suppressAutoHyphens w:val="true"/>
        <w:overflowPunct w:val="false"/>
        <w:bidi w:val="0"/>
        <w:spacing w:before="0" w:after="0"/>
        <w:ind w:left="737" w:right="0" w:hanging="34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Dotowany podmiot jest zobowiązany pod rygorem rozwiązania umowy do udostępnienia na każde wezwanie Zleceniodawcy dokumentacji realizowanego zadania.</w:t>
      </w:r>
    </w:p>
    <w:p>
      <w:pPr>
        <w:pStyle w:val="Normal"/>
        <w:widowControl/>
        <w:numPr>
          <w:ilvl w:val="1"/>
          <w:numId w:val="1"/>
        </w:numPr>
        <w:suppressAutoHyphens w:val="true"/>
        <w:overflowPunct w:val="false"/>
        <w:bidi w:val="0"/>
        <w:spacing w:before="0" w:after="0"/>
        <w:ind w:left="737" w:right="0" w:hanging="34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Zleceniodawca dopuszcza możliwość dokonywania przesunięć pomiędzy poszczególnymi pozycjami kosztów określonymi w kalkulacji przewidywanych kosztów na następujących zasadach: w trakcie realizacji zadania mogą być dokonywane przesunięcia w zakresie poszczególnych pozycji kosztów pod warunkiem, że nie nastąpi zwiększenie danego kosztu  o więcej niż </w:t>
      </w:r>
      <w:r>
        <w:rPr>
          <w:rFonts w:cs="Arial" w:ascii="Arial" w:hAnsi="Arial"/>
          <w:b/>
          <w:sz w:val="20"/>
          <w:szCs w:val="20"/>
        </w:rPr>
        <w:t>15%.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0"/>
          <w:szCs w:val="20"/>
          <w:u w:val="single"/>
        </w:rPr>
        <w:t xml:space="preserve">Zmiany powyżej </w:t>
      </w:r>
      <w:r>
        <w:rPr>
          <w:rFonts w:cs="Arial" w:ascii="Arial" w:hAnsi="Arial"/>
          <w:b/>
          <w:sz w:val="20"/>
          <w:szCs w:val="20"/>
          <w:u w:val="single"/>
        </w:rPr>
        <w:t>15%</w:t>
      </w:r>
      <w:r>
        <w:rPr>
          <w:rFonts w:cs="Arial" w:ascii="Arial" w:hAnsi="Arial"/>
          <w:sz w:val="20"/>
          <w:szCs w:val="20"/>
          <w:u w:val="single"/>
        </w:rPr>
        <w:t xml:space="preserve"> wymagają uzyskania zgody na wprowadzenie zmian i sporządzenia aneksu do umowy.</w:t>
      </w:r>
    </w:p>
    <w:p>
      <w:pPr>
        <w:pStyle w:val="Normal"/>
        <w:widowControl/>
        <w:numPr>
          <w:ilvl w:val="1"/>
          <w:numId w:val="1"/>
        </w:numPr>
        <w:suppressAutoHyphens w:val="true"/>
        <w:overflowPunct w:val="false"/>
        <w:bidi w:val="0"/>
        <w:spacing w:before="0" w:after="0"/>
        <w:ind w:left="737" w:right="0" w:hanging="34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W trakcie realizacji zadania mogą być dokonane zmiany w zakresie przyjętych rezultatów zadania publicznego, dotyczących realizacji dystrybucji artykułów spożywczych, pod warunkiem, że nie nastąpi zmniejszenie planowanego poziomu osiągnięcia danego rezultatu o więcej niż 5%. </w:t>
      </w:r>
      <w:r>
        <w:rPr>
          <w:rFonts w:cs="Arial" w:ascii="Arial" w:hAnsi="Arial"/>
          <w:sz w:val="20"/>
          <w:szCs w:val="20"/>
          <w:u w:val="single"/>
        </w:rPr>
        <w:t>Zmiany przekraczające 5 % założonego rezultatu wymagają uzyskania zgody na wprowadzenie zmian i sporządzenia aneksu do umowy.</w:t>
      </w:r>
    </w:p>
    <w:p>
      <w:pPr>
        <w:pStyle w:val="Normal"/>
        <w:widowControl/>
        <w:numPr>
          <w:ilvl w:val="1"/>
          <w:numId w:val="1"/>
        </w:numPr>
        <w:suppressAutoHyphens w:val="true"/>
        <w:overflowPunct w:val="false"/>
        <w:bidi w:val="0"/>
        <w:spacing w:before="0" w:after="0"/>
        <w:ind w:left="737" w:right="0" w:hanging="34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Zadanie uznaje się za zrealizowane, jeżeli wszystkie działania zostały zrealizowane a poziom osiągniętych wskaźników rezultatu wynosi co najmniej 95%  - Rozdz. I pkt 3, ppkt 3.1, lit. a oraz 100% - Rozd. I pkt 3, ppkt 3.2, lit. a i b.</w:t>
      </w:r>
    </w:p>
    <w:p>
      <w:pPr>
        <w:pStyle w:val="Normal"/>
        <w:widowControl/>
        <w:numPr>
          <w:ilvl w:val="1"/>
          <w:numId w:val="1"/>
        </w:numPr>
        <w:suppressAutoHyphens w:val="true"/>
        <w:overflowPunct w:val="false"/>
        <w:bidi w:val="0"/>
        <w:spacing w:before="0" w:after="0"/>
        <w:ind w:left="737" w:right="0" w:hanging="34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Administratorem danych osobowych odbiorców końcowych POPŻ, przetwarzanych w związku z realizacją zadania, jest Miejski Ośrodek Pomocy Społecznej ul. Budowlanych 59, 43-100 Tychy oraz</w:t>
      </w:r>
      <w:r>
        <w:rPr>
          <w:rFonts w:cs="Arial" w:ascii="Arial" w:hAnsi="Arial"/>
          <w:b/>
          <w:sz w:val="20"/>
          <w:szCs w:val="20"/>
        </w:rPr>
        <w:t xml:space="preserve"> </w:t>
      </w:r>
      <w:r>
        <w:rPr>
          <w:rFonts w:cs="Arial" w:ascii="Arial" w:hAnsi="Arial"/>
          <w:b w:val="false"/>
          <w:bCs w:val="false"/>
          <w:sz w:val="20"/>
          <w:szCs w:val="20"/>
        </w:rPr>
        <w:t>Organizacja Partnerska Lokalna (OPL) bezpośrednio wydająca żywność</w:t>
      </w:r>
      <w:r>
        <w:rPr>
          <w:rFonts w:cs="Arial" w:ascii="Arial" w:hAnsi="Arial"/>
          <w:sz w:val="20"/>
          <w:szCs w:val="20"/>
        </w:rPr>
        <w:t>. OPL jest zobowiązana do przetwarzania danych osobowych zgodnie z powszechnienie obowiązującymi przepisami prawa w tym zakresie, w szczególności zgodnie z zapisami Rozporządzenia Parlamentu Europejskiego i Rady (UE) 2016/679 z dnia 27 kwietnia 2016 r. w sprawie ochrony osób fizycznych w związku z przetwarzaniem danych osobowych i w sprawie swobodnego przepływu takich danych oraz uchylenia dyrektywy 95/46/WE (ogólne rozporządzenie o ochronie danych) (Dz. Urz. UE. L 2016 Nr 119, str. 1).</w:t>
      </w:r>
    </w:p>
    <w:p>
      <w:pPr>
        <w:pStyle w:val="Normal"/>
        <w:widowControl/>
        <w:numPr>
          <w:ilvl w:val="1"/>
          <w:numId w:val="1"/>
        </w:numPr>
        <w:suppressAutoHyphens w:val="true"/>
        <w:overflowPunct w:val="false"/>
        <w:bidi w:val="0"/>
        <w:spacing w:before="0" w:after="0"/>
        <w:ind w:left="737" w:right="0" w:hanging="34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Obowiązkiem każdej organizacji pozarządowej realizującej zadanie publiczne finansowane ze środków dotacji jest zapewnienie dostępności osobom ze szczególnymi potrzebami. Dostępność musi być zapewniona co najmniej w minimalnym wymiarze, o którym mowa w art. 6 ustawy z dnia 19 lipca 2019 r. o zapewnieniu dostępności osobom ze szczególnymi potrzebami (Dz. U. z 2022r., poz. 2240). Dotyczy to także stron internetowych i aplikacji, jakie będą wykorzystane do realizacji zadania, które spełniają wymagania określone w ustawie z dnia 4 kwietnia 2019 r. o dostępności cyfrowej stron internetowych i aplikacji mobilnych podmiotów publicznych (Dz. U. z 2023 r., poz. 82).</w:t>
      </w:r>
    </w:p>
    <w:p>
      <w:pPr>
        <w:pStyle w:val="Normal"/>
        <w:widowControl/>
        <w:numPr>
          <w:ilvl w:val="1"/>
          <w:numId w:val="1"/>
        </w:numPr>
        <w:suppressAutoHyphens w:val="true"/>
        <w:overflowPunct w:val="false"/>
        <w:bidi w:val="0"/>
        <w:spacing w:before="0" w:after="0"/>
        <w:ind w:left="737" w:right="0" w:hanging="34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W indywidualnym przypadku, jeżeli organizacja nie jest w stanie, w szczególności ze względów technicznych lub prawnych, zapewnić dostępności osobie ze szczególnymi potrzebami w zakresie, o którym mowa w art. 6 ustawy o dostępności, podmiot ten jest obowiązany zapewnić takiej osobie dostęp alternatywny.</w:t>
      </w:r>
    </w:p>
    <w:p>
      <w:pPr>
        <w:pStyle w:val="Normal"/>
        <w:widowControl/>
        <w:numPr>
          <w:ilvl w:val="1"/>
          <w:numId w:val="1"/>
        </w:numPr>
        <w:suppressAutoHyphens w:val="true"/>
        <w:overflowPunct w:val="false"/>
        <w:bidi w:val="0"/>
        <w:spacing w:before="0" w:after="0"/>
        <w:ind w:left="737" w:right="0" w:hanging="34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bCs/>
          <w:color w:val="000000"/>
          <w:sz w:val="20"/>
          <w:szCs w:val="20"/>
        </w:rPr>
        <w:t>Do udziału w otwartym konkursie ofert może przystąpić podmiot, który spełni łącznie następujące wymagania formalne:</w:t>
      </w:r>
    </w:p>
    <w:p>
      <w:pPr>
        <w:pStyle w:val="Normal"/>
        <w:widowControl/>
        <w:numPr>
          <w:ilvl w:val="0"/>
          <w:numId w:val="3"/>
        </w:numPr>
        <w:suppressAutoHyphens w:val="true"/>
        <w:overflowPunct w:val="false"/>
        <w:bidi w:val="0"/>
        <w:spacing w:before="120" w:after="120"/>
        <w:ind w:left="1077" w:right="0" w:hanging="34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 w:val="false"/>
          <w:bCs w:val="false"/>
          <w:color w:val="000000"/>
          <w:sz w:val="20"/>
          <w:szCs w:val="20"/>
        </w:rPr>
        <w:t>Prowadzi działalność statutową w obszarze pomocy społecznej, związaną z przeciwdziałaniem wykluczeniu społecznemu oraz prowadzi działania non-profit na rzecz osób najbardziej potrzebujących,</w:t>
      </w:r>
    </w:p>
    <w:p>
      <w:pPr>
        <w:pStyle w:val="Normal"/>
        <w:widowControl/>
        <w:numPr>
          <w:ilvl w:val="0"/>
          <w:numId w:val="3"/>
        </w:numPr>
        <w:suppressAutoHyphens w:val="true"/>
        <w:overflowPunct w:val="false"/>
        <w:bidi w:val="0"/>
        <w:spacing w:before="120" w:after="120"/>
        <w:ind w:left="1077" w:right="0" w:hanging="34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 w:val="false"/>
          <w:bCs w:val="false"/>
          <w:color w:val="000000"/>
          <w:sz w:val="20"/>
          <w:szCs w:val="20"/>
        </w:rPr>
        <w:t>Posiada status Organizacji Partnerskiej Lokalnej, zgodnie z Wytycznymi, potwierdzony stosownym dokumentem,</w:t>
      </w:r>
    </w:p>
    <w:p>
      <w:pPr>
        <w:pStyle w:val="Normal"/>
        <w:widowControl/>
        <w:numPr>
          <w:ilvl w:val="0"/>
          <w:numId w:val="3"/>
        </w:numPr>
        <w:suppressAutoHyphens w:val="true"/>
        <w:overflowPunct w:val="false"/>
        <w:bidi w:val="0"/>
        <w:spacing w:before="120" w:after="120"/>
        <w:ind w:left="1077" w:right="0" w:hanging="340"/>
        <w:jc w:val="both"/>
        <w:rPr/>
      </w:pPr>
      <w:r>
        <w:rPr>
          <w:rStyle w:val="Domylnaczcionkaakapitu"/>
          <w:rFonts w:cs="Arial" w:ascii="Arial" w:hAnsi="Arial"/>
          <w:color w:val="000000"/>
          <w:sz w:val="20"/>
          <w:szCs w:val="20"/>
        </w:rPr>
        <w:t>Dysponuje zasobami osobowymi zdolnymi do realizacji zadania, w tym kadrą posiadającą odpowiednie kwalifikacje/doświadczenie w realizacji zadań związanych z prowadzeniem działań o charakterze włączenia społecznego, potwierdzone stosowną dokumentacją,</w:t>
      </w:r>
    </w:p>
    <w:p>
      <w:pPr>
        <w:pStyle w:val="Normal"/>
        <w:widowControl/>
        <w:numPr>
          <w:ilvl w:val="0"/>
          <w:numId w:val="3"/>
        </w:numPr>
        <w:suppressAutoHyphens w:val="true"/>
        <w:overflowPunct w:val="false"/>
        <w:bidi w:val="0"/>
        <w:spacing w:before="120" w:after="120"/>
        <w:ind w:left="1077" w:right="0" w:hanging="340"/>
        <w:jc w:val="both"/>
        <w:rPr/>
      </w:pPr>
      <w:r>
        <w:rPr>
          <w:rStyle w:val="Domylnaczcionkaakapitu"/>
          <w:rFonts w:cs="Arial" w:ascii="Arial" w:hAnsi="Arial"/>
          <w:color w:val="000000"/>
          <w:sz w:val="20"/>
          <w:szCs w:val="20"/>
        </w:rPr>
        <w:t>Posiada doświadczenie w prowadzeniu działań o charakterze włączenia społecznego wobec osób doświadczających deprywacji materialnej w funkcjonowanie społeczności lokalnych, w szczególności poprzez:</w:t>
      </w:r>
    </w:p>
    <w:p>
      <w:pPr>
        <w:pStyle w:val="Normal"/>
        <w:spacing w:before="120" w:after="120"/>
        <w:ind w:left="1416" w:right="0" w:hanging="0"/>
        <w:jc w:val="both"/>
        <w:rPr/>
      </w:pPr>
      <w:r>
        <w:rPr>
          <w:rStyle w:val="Domylnaczcionkaakapitu"/>
          <w:rFonts w:cs="Arial" w:ascii="Arial" w:hAnsi="Arial"/>
          <w:b/>
          <w:bCs/>
          <w:color w:val="000000"/>
          <w:sz w:val="20"/>
          <w:szCs w:val="20"/>
        </w:rPr>
        <w:t xml:space="preserve">- </w:t>
      </w:r>
      <w:r>
        <w:rPr>
          <w:rFonts w:ascii="Arial" w:hAnsi="Arial"/>
          <w:sz w:val="20"/>
          <w:szCs w:val="20"/>
        </w:rPr>
        <w:t>zajęcia aktywizujące i wspólne inicjatywy na rzecz społeczności lokalnej, zmierzające</w:t>
        <w:br/>
        <w:t>do wyjścia z ubóstwa,</w:t>
      </w:r>
    </w:p>
    <w:p>
      <w:pPr>
        <w:pStyle w:val="Normal"/>
        <w:spacing w:before="120" w:after="120"/>
        <w:ind w:left="1416" w:right="0" w:hanging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 xml:space="preserve">-  </w:t>
      </w:r>
      <w:r>
        <w:rPr>
          <w:rFonts w:ascii="Arial" w:hAnsi="Arial"/>
          <w:sz w:val="20"/>
          <w:szCs w:val="20"/>
        </w:rPr>
        <w:t>grupy wsparcia dla różnych kategorii osób w trudnej sytuacji,</w:t>
      </w:r>
    </w:p>
    <w:p>
      <w:pPr>
        <w:pStyle w:val="Normal"/>
        <w:spacing w:before="120" w:after="120"/>
        <w:ind w:left="1416" w:right="0" w:hanging="0"/>
        <w:jc w:val="both"/>
        <w:rPr/>
      </w:pPr>
      <w:r>
        <w:rPr>
          <w:rStyle w:val="Domylnaczcionkaakapitu"/>
          <w:rFonts w:ascii="Arial" w:hAnsi="Arial"/>
          <w:b/>
          <w:bCs/>
          <w:sz w:val="20"/>
          <w:szCs w:val="20"/>
        </w:rPr>
        <w:t xml:space="preserve">- </w:t>
      </w:r>
      <w:r>
        <w:rPr>
          <w:rStyle w:val="Domylnaczcionkaakapitu"/>
          <w:rFonts w:ascii="Arial" w:hAnsi="Arial"/>
          <w:sz w:val="20"/>
          <w:szCs w:val="20"/>
        </w:rPr>
        <w:t>wsparcie psychologiczne / terapeutyczne osób zagrożonych wykluczeniem społecznym,</w:t>
      </w:r>
    </w:p>
    <w:p>
      <w:pPr>
        <w:pStyle w:val="Normal"/>
        <w:widowControl/>
        <w:numPr>
          <w:ilvl w:val="0"/>
          <w:numId w:val="3"/>
        </w:numPr>
        <w:suppressAutoHyphens w:val="true"/>
        <w:overflowPunct w:val="false"/>
        <w:bidi w:val="0"/>
        <w:spacing w:before="120" w:after="120"/>
        <w:ind w:left="1077" w:right="0" w:hanging="340"/>
        <w:jc w:val="both"/>
        <w:rPr/>
      </w:pPr>
      <w:r>
        <w:rPr>
          <w:rStyle w:val="Domylnaczcionkaakapitu"/>
          <w:rFonts w:cs="Arial" w:ascii="Arial" w:hAnsi="Arial"/>
          <w:color w:val="000000"/>
          <w:sz w:val="20"/>
          <w:szCs w:val="20"/>
        </w:rPr>
        <w:t>Posiada zdolności administracyjne, tj. zaplecze techniczne umożliwiające:</w:t>
      </w:r>
    </w:p>
    <w:p>
      <w:pPr>
        <w:pStyle w:val="Normal"/>
        <w:spacing w:before="120" w:after="120"/>
        <w:ind w:left="1416" w:right="0" w:hanging="0"/>
        <w:jc w:val="both"/>
        <w:rPr/>
      </w:pPr>
      <w:r>
        <w:rPr>
          <w:rStyle w:val="Domylnaczcionkaakapitu"/>
          <w:rFonts w:cs="Arial" w:ascii="Arial" w:hAnsi="Arial"/>
          <w:color w:val="000000"/>
          <w:sz w:val="20"/>
          <w:szCs w:val="20"/>
        </w:rPr>
        <w:t>- właściwą obsługę realizacji operacji dystrybucji w Podprogramie 2021 Plus, tj. m.in. pomieszczenia do obsługi administracyjnej, telefon, komputer,</w:t>
      </w:r>
    </w:p>
    <w:p>
      <w:pPr>
        <w:pStyle w:val="Normal"/>
        <w:spacing w:before="120" w:after="120"/>
        <w:ind w:left="1416" w:right="0" w:hanging="0"/>
        <w:jc w:val="both"/>
        <w:rPr/>
      </w:pPr>
      <w:r>
        <w:rPr>
          <w:rStyle w:val="Domylnaczcionkaakapitu"/>
          <w:rFonts w:cs="Arial" w:ascii="Arial" w:hAnsi="Arial"/>
          <w:b/>
          <w:bCs/>
          <w:color w:val="000000"/>
          <w:sz w:val="20"/>
          <w:szCs w:val="20"/>
        </w:rPr>
        <w:t xml:space="preserve">- </w:t>
      </w:r>
      <w:r>
        <w:rPr>
          <w:rFonts w:cs="Arial" w:ascii="Arial" w:hAnsi="Arial"/>
          <w:color w:val="000000"/>
          <w:sz w:val="20"/>
          <w:szCs w:val="20"/>
        </w:rPr>
        <w:t>prowadzenie odrębnej ewidencji magazynowej w formie elektronicznej (przy wykorzystaniu specjalistycznego programu komputerowego) bądź w formie papierowej umożliwiającej czytelne wyodrębnienie poszczególnych operacji magazynowych dla Podprogramu 2021 Plus oraz zidentyfikowanie ścieżki dystrybucji poszczególnych partii artykułów spożywczych,</w:t>
      </w:r>
    </w:p>
    <w:p>
      <w:pPr>
        <w:pStyle w:val="Normal"/>
        <w:spacing w:before="120" w:after="120"/>
        <w:ind w:left="1416" w:right="0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 w:val="false"/>
          <w:bCs w:val="false"/>
          <w:color w:val="000000"/>
          <w:sz w:val="20"/>
          <w:szCs w:val="20"/>
        </w:rPr>
        <w:t>- prowadzenie zbiorczej ewidencji magazynowej w ujęciu miesięcznym umożliwiającej prześledzenie dystrybucji każdej partii poszczególnych artykułów spożywczych dostarczonych do magazynu organizacji, zawierającej m.in. oznaczenie partii magazynowej, datę i ilość artykułów spożywczych przyjętych oraz ilość wydanych artykułów spożywczych w ramach danej partii, zgodnie z załącznikiem</w:t>
      </w:r>
      <w:r>
        <w:rPr>
          <w:rFonts w:cs="Arial" w:ascii="Arial" w:hAnsi="Arial"/>
          <w:b w:val="false"/>
          <w:bCs w:val="false"/>
          <w:color w:val="000000"/>
          <w:sz w:val="20"/>
          <w:szCs w:val="20"/>
          <w:shd w:fill="auto" w:val="clear"/>
        </w:rPr>
        <w:t xml:space="preserve"> nr 4 Wy</w:t>
      </w:r>
      <w:r>
        <w:rPr>
          <w:rFonts w:cs="Arial" w:ascii="Arial" w:hAnsi="Arial"/>
          <w:b w:val="false"/>
          <w:bCs w:val="false"/>
          <w:color w:val="000000"/>
          <w:sz w:val="20"/>
          <w:szCs w:val="20"/>
        </w:rPr>
        <w:t>tycznych albo zawierającej informacje, o której mowa w tym załączniku.</w:t>
      </w:r>
    </w:p>
    <w:p>
      <w:pPr>
        <w:pStyle w:val="Normal"/>
        <w:ind w:left="360" w:right="0" w:hanging="0"/>
        <w:jc w:val="both"/>
        <w:rPr>
          <w:rFonts w:ascii="Arial" w:hAnsi="Arial" w:cs="Arial"/>
          <w:b w:val="false"/>
          <w:b w:val="false"/>
          <w:bCs w:val="false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</w:r>
    </w:p>
    <w:tbl>
      <w:tblPr>
        <w:tblW w:w="9458" w:type="dxa"/>
        <w:jc w:val="left"/>
        <w:tblInd w:w="89" w:type="dxa"/>
        <w:tblLayout w:type="fixed"/>
        <w:tblCellMar>
          <w:top w:w="0" w:type="dxa"/>
          <w:left w:w="5" w:type="dxa"/>
          <w:bottom w:w="0" w:type="dxa"/>
          <w:right w:w="98" w:type="dxa"/>
        </w:tblCellMar>
      </w:tblPr>
      <w:tblGrid>
        <w:gridCol w:w="9458"/>
      </w:tblGrid>
      <w:tr>
        <w:trPr/>
        <w:tc>
          <w:tcPr>
            <w:tcW w:w="9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D9D9D9" w:val="clear"/>
          </w:tcPr>
          <w:p>
            <w:pPr>
              <w:pStyle w:val="Normal"/>
              <w:widowControl w:val="false"/>
              <w:spacing w:before="120" w:after="120"/>
              <w:jc w:val="center"/>
              <w:rPr>
                <w:rFonts w:ascii="Arial" w:hAnsi="Arial" w:eastAsia="Times New Roman" w:cs="Arial"/>
                <w:b/>
                <w:b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</w:rPr>
              <w:t>IV. Termin, miejsce i sposób składania ofert</w:t>
            </w:r>
          </w:p>
        </w:tc>
      </w:tr>
    </w:tbl>
    <w:p>
      <w:pPr>
        <w:pStyle w:val="Normal"/>
        <w:jc w:val="both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numPr>
          <w:ilvl w:val="0"/>
          <w:numId w:val="2"/>
        </w:numPr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Ofertę należy przygotować, prawidłowo podpisać i złożyć w nieprzekraczalnym terminie do dnia</w:t>
        <w:br/>
      </w:r>
      <w:r>
        <w:rPr>
          <w:rFonts w:cs="Arial" w:ascii="Arial" w:hAnsi="Arial"/>
          <w:b/>
          <w:bCs/>
          <w:sz w:val="20"/>
          <w:szCs w:val="20"/>
        </w:rPr>
        <w:t xml:space="preserve">28 lutego 2023 </w:t>
      </w:r>
      <w:r>
        <w:rPr>
          <w:rFonts w:cs="Arial" w:ascii="Arial" w:hAnsi="Arial"/>
          <w:b/>
          <w:sz w:val="20"/>
          <w:szCs w:val="20"/>
        </w:rPr>
        <w:t xml:space="preserve">roku do godz. 9:00 </w:t>
      </w:r>
      <w:r>
        <w:rPr>
          <w:rFonts w:cs="Arial" w:ascii="Arial" w:hAnsi="Arial"/>
          <w:b w:val="false"/>
          <w:bCs w:val="false"/>
          <w:sz w:val="20"/>
          <w:szCs w:val="20"/>
        </w:rPr>
        <w:t>w</w:t>
      </w:r>
      <w:r>
        <w:rPr>
          <w:rFonts w:cs="Arial" w:ascii="Arial" w:hAnsi="Arial"/>
          <w:b/>
          <w:color w:val="FF0000"/>
          <w:sz w:val="20"/>
          <w:szCs w:val="20"/>
        </w:rPr>
        <w:t xml:space="preserve"> </w:t>
      </w:r>
      <w:r>
        <w:rPr>
          <w:rFonts w:cs="Arial" w:ascii="Arial" w:hAnsi="Arial"/>
          <w:b w:val="false"/>
          <w:bCs w:val="false"/>
          <w:color w:val="00000A"/>
          <w:sz w:val="20"/>
          <w:szCs w:val="20"/>
        </w:rPr>
        <w:t>Miejskim Ośrodku Pomocy Społecznej</w:t>
        <w:br/>
        <w:t xml:space="preserve">ul. Budowlanych 59, 43-100 Tychy, pok. 105 – Kancelaria </w:t>
      </w:r>
      <w:r>
        <w:rPr>
          <w:rFonts w:cs="Arial" w:ascii="Arial" w:hAnsi="Arial"/>
          <w:color w:val="00000A"/>
          <w:sz w:val="20"/>
          <w:szCs w:val="20"/>
        </w:rPr>
        <w:t>lub przesła</w:t>
      </w:r>
      <w:r>
        <w:rPr>
          <w:rFonts w:cs="Arial" w:ascii="Arial" w:hAnsi="Arial"/>
          <w:sz w:val="20"/>
          <w:szCs w:val="20"/>
        </w:rPr>
        <w:t xml:space="preserve">ć pocztą tradycyjną lub przez ePUAP na adres: /mops_tychy/skrytka. </w:t>
      </w:r>
    </w:p>
    <w:p>
      <w:pPr>
        <w:pStyle w:val="Normal"/>
        <w:numPr>
          <w:ilvl w:val="0"/>
          <w:numId w:val="2"/>
        </w:numPr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  <w:t xml:space="preserve">Dopuszcza się możliwość złożenia oferty konkursowej wyłącznie w formie elektronicznej za pośrednictwem platformy ePUAP pod warunkiem posiadania profilu zaufanego. W tym przypadku ofertę wraz z załącznikami, podpisane kwalifikowanym podpisem elektronicznym lub podpisem zaufanym lub podpisem osobistym (każdy dokument w osobnym, podpisanym pliku) należy przesłać na skrzynkę e-PUAP </w:t>
      </w:r>
      <w:r>
        <w:rPr>
          <w:rFonts w:cs="Arial" w:ascii="Arial" w:hAnsi="Arial"/>
          <w:sz w:val="20"/>
          <w:szCs w:val="20"/>
        </w:rPr>
        <w:t xml:space="preserve">w nieprzekraczalnym terminie do </w:t>
      </w:r>
      <w:r>
        <w:rPr>
          <w:rFonts w:cs="Arial" w:ascii="Arial" w:hAnsi="Arial"/>
          <w:b/>
          <w:bCs/>
          <w:sz w:val="20"/>
          <w:szCs w:val="20"/>
        </w:rPr>
        <w:t xml:space="preserve">28 lutego 2023 </w:t>
      </w:r>
      <w:r>
        <w:rPr>
          <w:rFonts w:cs="Arial" w:ascii="Arial" w:hAnsi="Arial"/>
          <w:b/>
          <w:sz w:val="20"/>
          <w:szCs w:val="20"/>
        </w:rPr>
        <w:t>roku do godz. 9:00</w:t>
      </w:r>
      <w:r>
        <w:rPr>
          <w:rFonts w:cs="Arial" w:ascii="Arial" w:hAnsi="Arial"/>
          <w:b/>
          <w:bCs/>
          <w:sz w:val="20"/>
          <w:szCs w:val="20"/>
        </w:rPr>
        <w:t>.</w:t>
      </w:r>
    </w:p>
    <w:p>
      <w:pPr>
        <w:pStyle w:val="Normal"/>
        <w:numPr>
          <w:ilvl w:val="0"/>
          <w:numId w:val="2"/>
        </w:numPr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  <w:t>W przypadku składania oferty osobiście, dokument należy złożyć w zamkniętej kopercie.</w:t>
      </w:r>
    </w:p>
    <w:p>
      <w:pPr>
        <w:pStyle w:val="Normal"/>
        <w:numPr>
          <w:ilvl w:val="0"/>
          <w:numId w:val="2"/>
        </w:numPr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  <w:t xml:space="preserve">Składając ofertę za pośrednictwem poczty decyduje data wpływu do Miejskiego Ośrodka Pomocy Społecznej w Tychach, przy ul. Budowlanych 59 – nie data nadania w urzędzie pocztowym. </w:t>
      </w:r>
    </w:p>
    <w:p>
      <w:pPr>
        <w:pStyle w:val="Normal"/>
        <w:numPr>
          <w:ilvl w:val="0"/>
          <w:numId w:val="2"/>
        </w:numPr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Oferta powinna zostać podpisana przez osoby do tego upoważnione, zgodnie z KRS lub innym rejestrem/ewidencją lub pełnomocnictwem. Podpis powinien umożliwić weryfikację osób. </w:t>
      </w:r>
    </w:p>
    <w:p>
      <w:pPr>
        <w:pStyle w:val="Normal"/>
        <w:numPr>
          <w:ilvl w:val="0"/>
          <w:numId w:val="2"/>
        </w:numPr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Załączniki muszą być opatrzone datą oraz podpisem osób upoważnionych do reprezentowania Oferenta. W przypadku składania kserokopii, osoby reprezentujące Oferenta powinny potwierdzić jej zgodność z oryginałem (podpis oraz data uwiarygodnienia).</w:t>
      </w:r>
    </w:p>
    <w:p>
      <w:pPr>
        <w:pStyle w:val="Normal"/>
        <w:numPr>
          <w:ilvl w:val="0"/>
          <w:numId w:val="2"/>
        </w:numPr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  <w:t>Dopuszcza się możliwość dokonania drobnych poprawek (np. brak daty przy podpisie za zgodność z oryginałem, brak numeru telefonu, błędnie podany organ administracji publicznej) na wezwanie</w:t>
        <w:br/>
        <w:t>e-mailowe lub telefoniczne w terminie podanym przez organizatora konkursu.</w:t>
      </w:r>
    </w:p>
    <w:p>
      <w:pPr>
        <w:pStyle w:val="Normal"/>
        <w:numPr>
          <w:ilvl w:val="0"/>
          <w:numId w:val="2"/>
        </w:numPr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Ofertę realizacji zadania należy sporządzić według rozporządzenia Przewodniczącego Komitetu do spraw Pożytku Publicznego z dnia 24 października 2018 r. w sprawie wzorów ofert i ramowych wzorów umów dotyczących realizacji zadań publicznych oraz</w:t>
      </w:r>
      <w:r>
        <w:rPr>
          <w:rFonts w:cs="Arial" w:ascii="Arial" w:hAnsi="Arial"/>
          <w:sz w:val="20"/>
          <w:szCs w:val="20"/>
        </w:rPr>
        <w:t xml:space="preserve"> wzorów sprawozdań z wykonania tych zadań.</w:t>
      </w:r>
    </w:p>
    <w:p>
      <w:pPr>
        <w:pStyle w:val="Normal"/>
        <w:numPr>
          <w:ilvl w:val="0"/>
          <w:numId w:val="2"/>
        </w:numPr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U</w:t>
      </w:r>
      <w:r>
        <w:rPr>
          <w:rFonts w:cs="Arial" w:ascii="Arial" w:hAnsi="Arial"/>
          <w:sz w:val="20"/>
          <w:szCs w:val="20"/>
          <w:shd w:fill="FFFFFF" w:val="clear"/>
        </w:rPr>
        <w:t xml:space="preserve">WAGA: </w:t>
      </w:r>
    </w:p>
    <w:p>
      <w:pPr>
        <w:pStyle w:val="Normal"/>
        <w:numPr>
          <w:ilvl w:val="0"/>
          <w:numId w:val="0"/>
        </w:numPr>
        <w:ind w:left="720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  <w:shd w:fill="FFFFFF" w:val="clear"/>
        </w:rPr>
        <w:t>- Część V.C „Podział kosztów realizacji zadania pomiędzy oferentów” oferty należy wypełnić jedynie w przypadku składania oferty wspólnej.</w:t>
      </w:r>
    </w:p>
    <w:p>
      <w:pPr>
        <w:pStyle w:val="Normal"/>
        <w:numPr>
          <w:ilvl w:val="0"/>
          <w:numId w:val="2"/>
        </w:numPr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  <w:shd w:fill="FFFFFF" w:val="clear"/>
        </w:rPr>
        <w:t>Jeżeli oferent będzie realizował zadanie również przy użyciu zasobów własnych, nie finansowanych z dotacji, wykazuje je w części VI. - Inne informacje oferty. W Części V.B „Źródła finansowania kosztów realizacji zadania” pozycje 3, 3.1., 3.2., 4. pozostawia się niewypełnione lub wpisuje się „nie dotyczy”.</w:t>
      </w:r>
    </w:p>
    <w:p>
      <w:pPr>
        <w:pStyle w:val="Normal"/>
        <w:numPr>
          <w:ilvl w:val="0"/>
          <w:numId w:val="2"/>
        </w:numPr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Wszystkie pozycje formularza oferty muszą zostać wypełnione. W przypadku, gdy dana pozycja oferty nie odnosi się do oferenta lub zadania publicznego, należy </w:t>
      </w:r>
      <w:r>
        <w:rPr>
          <w:rFonts w:cs="Arial" w:ascii="Arial" w:hAnsi="Arial"/>
          <w:sz w:val="20"/>
          <w:szCs w:val="20"/>
          <w:shd w:fill="FFFFFF" w:val="clear"/>
        </w:rPr>
        <w:t>wpisać na przykład „nie dotyczy”.</w:t>
      </w:r>
    </w:p>
    <w:p>
      <w:pPr>
        <w:pStyle w:val="Normal"/>
        <w:numPr>
          <w:ilvl w:val="0"/>
          <w:numId w:val="2"/>
        </w:numPr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  <w:u w:val="single"/>
        </w:rPr>
        <w:t>Do oferty należy dołączyć</w:t>
      </w:r>
      <w:r>
        <w:rPr>
          <w:rFonts w:cs="Arial" w:ascii="Arial" w:hAnsi="Arial"/>
          <w:b w:val="false"/>
          <w:bCs w:val="false"/>
          <w:sz w:val="20"/>
          <w:szCs w:val="20"/>
        </w:rPr>
        <w:t>:</w:t>
      </w:r>
    </w:p>
    <w:p>
      <w:pPr>
        <w:pStyle w:val="Normal"/>
        <w:widowControl/>
        <w:numPr>
          <w:ilvl w:val="0"/>
          <w:numId w:val="9"/>
        </w:numPr>
        <w:suppressAutoHyphens w:val="true"/>
        <w:overflowPunct w:val="false"/>
        <w:bidi w:val="0"/>
        <w:spacing w:before="0" w:after="0"/>
        <w:ind w:left="1020" w:right="0" w:hanging="34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Kopię dokumentu potwierdzającego wpis do właściwego rejestru i cel działania Podmiotu, chyba, że istnieje możliwość samodzielnego pobrania przez Zleceniodawcę wydruku komputerowego aktualnych informacji o podmiocie wpisanym do Krajowego Rejestru Sądowego. W</w:t>
      </w:r>
      <w:r>
        <w:rPr>
          <w:rFonts w:eastAsia="Arial Unicode MS;Arial;Times New Roman" w:cs="Arial" w:ascii="Arial" w:hAnsi="Arial"/>
          <w:sz w:val="20"/>
          <w:szCs w:val="20"/>
        </w:rPr>
        <w:t xml:space="preserve"> przypadku, gdy oferent nie podlega wpisowi w Krajowym Rejestrze Sądowym – potwierdzona za zgodność z oryginałem kopia aktualnego wyciągu z innego rejestru lub ewidencji, ewentualnie inny dokument potwierdzający osobowość prawną oferenta,</w:t>
      </w:r>
    </w:p>
    <w:p>
      <w:pPr>
        <w:pStyle w:val="Normal"/>
        <w:widowControl/>
        <w:numPr>
          <w:ilvl w:val="0"/>
          <w:numId w:val="9"/>
        </w:numPr>
        <w:suppressAutoHyphens w:val="true"/>
        <w:overflowPunct w:val="false"/>
        <w:bidi w:val="0"/>
        <w:spacing w:before="0" w:after="0"/>
        <w:ind w:left="1020" w:right="0" w:hanging="34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Dokument potwierdzający upoważnienie do działania oferenta (-ów) w przypadku wyboru innego sposobu reprezentacji Oferentów składających ofertę, niż wynikający z Krajowego Rejestru Sądowego lub innego właściwego rejestru,</w:t>
      </w:r>
    </w:p>
    <w:p>
      <w:pPr>
        <w:pStyle w:val="Normal"/>
        <w:widowControl/>
        <w:numPr>
          <w:ilvl w:val="0"/>
          <w:numId w:val="9"/>
        </w:numPr>
        <w:suppressAutoHyphens w:val="true"/>
        <w:overflowPunct w:val="false"/>
        <w:bidi w:val="0"/>
        <w:spacing w:before="0" w:after="0"/>
        <w:ind w:left="1020" w:right="0" w:hanging="34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Aktualne pełnomocnictwa zarządu głównego (lub innego organu wykonawczego) do składania ofert, podpisywania umów w tym zakresie, dysponowania uzyskanymi funduszami, dokonywania rozliczeń z tych funduszy – w przypadku oferty składanej przez koła lub oddział terenowy, nie posiadający osobowości prawnej. W przypadku przyznania dotacji umowa zawierana będzie z podmiotem posiadającym osobowość prawną,</w:t>
      </w:r>
    </w:p>
    <w:p>
      <w:pPr>
        <w:pStyle w:val="Normal"/>
        <w:widowControl/>
        <w:numPr>
          <w:ilvl w:val="0"/>
          <w:numId w:val="9"/>
        </w:numPr>
        <w:suppressAutoHyphens w:val="true"/>
        <w:overflowPunct w:val="false"/>
        <w:bidi w:val="0"/>
        <w:spacing w:before="0" w:after="0"/>
        <w:ind w:left="1020" w:right="0" w:hanging="34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kopię dokumentu potwierdzającego posiadanie statusu Organizacji Partnerskiej Lokalnej,</w:t>
      </w:r>
    </w:p>
    <w:p>
      <w:pPr>
        <w:pStyle w:val="Normal"/>
        <w:widowControl/>
        <w:numPr>
          <w:ilvl w:val="0"/>
          <w:numId w:val="9"/>
        </w:numPr>
        <w:suppressAutoHyphens w:val="true"/>
        <w:overflowPunct w:val="false"/>
        <w:bidi w:val="0"/>
        <w:spacing w:before="0" w:after="0"/>
        <w:ind w:left="1020" w:right="0" w:hanging="34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statut podmiotu uprawnionego,</w:t>
      </w:r>
    </w:p>
    <w:p>
      <w:pPr>
        <w:pStyle w:val="Normal"/>
        <w:widowControl/>
        <w:numPr>
          <w:ilvl w:val="0"/>
          <w:numId w:val="9"/>
        </w:numPr>
        <w:suppressAutoHyphens w:val="true"/>
        <w:overflowPunct w:val="false"/>
        <w:bidi w:val="0"/>
        <w:spacing w:before="0" w:after="0"/>
        <w:ind w:left="1020" w:right="0" w:hanging="34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wykaz osób uczestniczących w realizacji zadania wraz z opisem posiadanych kwalifikacji/doświadczenia. Oryginały dokumentów poświadczających kwalifikacje i doświadczenie realizatorów do wglądu, na wyraźne żądanie, przed zawarciem umowy,</w:t>
      </w:r>
    </w:p>
    <w:p>
      <w:pPr>
        <w:pStyle w:val="Normal"/>
        <w:widowControl/>
        <w:numPr>
          <w:ilvl w:val="0"/>
          <w:numId w:val="9"/>
        </w:numPr>
        <w:suppressAutoHyphens w:val="true"/>
        <w:overflowPunct w:val="false"/>
        <w:bidi w:val="0"/>
        <w:spacing w:before="0" w:after="0"/>
        <w:ind w:left="1020" w:right="0" w:hanging="34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w przypadku oferty wspólnej: należy dołączyć umowę zawartą miedzy podmiotami, określającą zakres ich świadczeń składających się na realizację zadania publicznego. </w:t>
      </w:r>
    </w:p>
    <w:p>
      <w:pPr>
        <w:pStyle w:val="ListParagraph"/>
        <w:ind w:left="786" w:right="0" w:hanging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eastAsia="Verdana,Bold" w:cs="Arial" w:ascii="Arial" w:hAnsi="Arial"/>
          <w:b/>
          <w:bCs/>
          <w:sz w:val="20"/>
          <w:szCs w:val="20"/>
          <w:u w:val="single"/>
        </w:rPr>
        <w:t>UWAGA</w:t>
      </w:r>
      <w:r>
        <w:rPr>
          <w:rFonts w:eastAsia="Verdana,Bold" w:cs="Arial" w:ascii="Arial" w:hAnsi="Arial"/>
          <w:bCs/>
          <w:sz w:val="20"/>
          <w:szCs w:val="20"/>
        </w:rPr>
        <w:t xml:space="preserve">: </w:t>
      </w:r>
      <w:r>
        <w:rPr>
          <w:rFonts w:cs="Arial" w:ascii="Arial" w:hAnsi="Arial"/>
          <w:sz w:val="20"/>
          <w:szCs w:val="20"/>
        </w:rPr>
        <w:t xml:space="preserve">Oferta, która wpłynie po </w:t>
      </w:r>
      <w:r>
        <w:rPr>
          <w:rFonts w:cs="Arial" w:ascii="Arial" w:hAnsi="Arial"/>
          <w:b/>
          <w:bCs/>
          <w:sz w:val="20"/>
          <w:szCs w:val="20"/>
          <w:u w:val="single"/>
        </w:rPr>
        <w:t xml:space="preserve">28 lutego </w:t>
      </w:r>
      <w:r>
        <w:rPr>
          <w:rFonts w:cs="Arial" w:ascii="Arial" w:hAnsi="Arial"/>
          <w:b/>
          <w:sz w:val="20"/>
          <w:szCs w:val="20"/>
          <w:u w:val="single"/>
        </w:rPr>
        <w:t>2023 r. po godz. 9:00</w:t>
      </w:r>
      <w:r>
        <w:rPr>
          <w:rFonts w:cs="Arial" w:ascii="Arial" w:hAnsi="Arial"/>
          <w:sz w:val="20"/>
          <w:szCs w:val="20"/>
        </w:rPr>
        <w:t xml:space="preserve"> nie będzie objęta oceną formalną</w:t>
        <w:br/>
        <w:t>i merytoryczną.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tbl>
      <w:tblPr>
        <w:tblW w:w="9591" w:type="dxa"/>
        <w:jc w:val="left"/>
        <w:tblInd w:w="-44" w:type="dxa"/>
        <w:tblLayout w:type="fixed"/>
        <w:tblCellMar>
          <w:top w:w="0" w:type="dxa"/>
          <w:left w:w="5" w:type="dxa"/>
          <w:bottom w:w="0" w:type="dxa"/>
          <w:right w:w="98" w:type="dxa"/>
        </w:tblCellMar>
      </w:tblPr>
      <w:tblGrid>
        <w:gridCol w:w="9591"/>
      </w:tblGrid>
      <w:tr>
        <w:trPr/>
        <w:tc>
          <w:tcPr>
            <w:tcW w:w="95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D9D9D9" w:val="clear"/>
          </w:tcPr>
          <w:p>
            <w:pPr>
              <w:pStyle w:val="Normal"/>
              <w:widowControl w:val="false"/>
              <w:spacing w:before="120" w:after="120"/>
              <w:jc w:val="center"/>
              <w:rPr>
                <w:rFonts w:ascii="Arial" w:hAnsi="Arial" w:eastAsia="Times New Roman" w:cs="Arial"/>
                <w:b/>
                <w:b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</w:rPr>
              <w:t>V. Tryb i kryteria stosowane przy wyborze ofert oraz termin dokonania wyboru ofert</w:t>
            </w:r>
          </w:p>
        </w:tc>
      </w:tr>
    </w:tbl>
    <w:p>
      <w:pPr>
        <w:pStyle w:val="Normal"/>
        <w:jc w:val="both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numPr>
          <w:ilvl w:val="0"/>
          <w:numId w:val="11"/>
        </w:numPr>
        <w:spacing w:before="60" w:after="6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Złożona oferta podlega:</w:t>
      </w:r>
    </w:p>
    <w:p>
      <w:pPr>
        <w:pStyle w:val="Normal"/>
        <w:numPr>
          <w:ilvl w:val="1"/>
          <w:numId w:val="11"/>
        </w:numPr>
        <w:spacing w:before="60" w:after="6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ocenie formalnej, dokonanej przez wyznaczonego pracownika,</w:t>
      </w:r>
    </w:p>
    <w:p>
      <w:pPr>
        <w:pStyle w:val="Normal"/>
        <w:numPr>
          <w:ilvl w:val="1"/>
          <w:numId w:val="11"/>
        </w:numPr>
        <w:spacing w:before="60" w:after="6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ocenie merytorycznej i zaopiniowaniu, którego dokonuje komisja konkursowa, powołana przez Prezydenta Miasta Tychy.</w:t>
      </w:r>
    </w:p>
    <w:p>
      <w:pPr>
        <w:pStyle w:val="Normal"/>
        <w:numPr>
          <w:ilvl w:val="0"/>
          <w:numId w:val="11"/>
        </w:numPr>
        <w:spacing w:before="60" w:after="6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Komisja konkursowa działać będzie zgodnie z postanowieniami art. 15 ustawy o działalności pożytku publicznego i o wolontariacie oraz zgodnie z Programem Współpracy Miasta Tychy z Organizacjami Pozarządowymi oraz innymi podmiotami prowadzącymi działalność pożytku publicznego na rok 2023.</w:t>
      </w:r>
    </w:p>
    <w:p>
      <w:pPr>
        <w:pStyle w:val="Normal"/>
        <w:numPr>
          <w:ilvl w:val="0"/>
          <w:numId w:val="11"/>
        </w:numPr>
        <w:spacing w:before="60" w:after="6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Ocena formalna odbywać się będzie w oparciu o następujące kryteria:</w:t>
      </w:r>
    </w:p>
    <w:p>
      <w:pPr>
        <w:pStyle w:val="Normal"/>
        <w:numPr>
          <w:ilvl w:val="1"/>
          <w:numId w:val="11"/>
        </w:numPr>
        <w:spacing w:before="60" w:after="6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Czy oferta wpłynęła w terminie?</w:t>
      </w:r>
    </w:p>
    <w:p>
      <w:pPr>
        <w:pStyle w:val="Normal"/>
        <w:numPr>
          <w:ilvl w:val="1"/>
          <w:numId w:val="11"/>
        </w:numPr>
        <w:spacing w:before="60" w:after="6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Czy Oferent jest uprawniony do udziału w konkursie?</w:t>
      </w:r>
    </w:p>
    <w:p>
      <w:pPr>
        <w:pStyle w:val="Normal"/>
        <w:numPr>
          <w:ilvl w:val="1"/>
          <w:numId w:val="11"/>
        </w:numPr>
        <w:spacing w:before="60" w:after="6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Czy oferta jest prawidłowo podpisana?</w:t>
      </w:r>
    </w:p>
    <w:p>
      <w:pPr>
        <w:pStyle w:val="Normal"/>
        <w:numPr>
          <w:ilvl w:val="1"/>
          <w:numId w:val="11"/>
        </w:numPr>
        <w:spacing w:before="60" w:after="60"/>
        <w:jc w:val="both"/>
        <w:rPr>
          <w:rFonts w:ascii="Arial" w:hAnsi="Arial"/>
          <w:sz w:val="20"/>
          <w:szCs w:val="20"/>
        </w:rPr>
      </w:pPr>
      <w:r>
        <w:rPr>
          <w:rFonts w:eastAsia="Calibri" w:cs="Arial" w:ascii="Arial" w:hAnsi="Arial"/>
          <w:i w:val="false"/>
          <w:iCs w:val="false"/>
          <w:color w:val="000000"/>
          <w:sz w:val="20"/>
          <w:szCs w:val="20"/>
        </w:rPr>
        <w:t>Czy oferta jest złożona w sposób określony w ogłoszeniu?</w:t>
      </w:r>
    </w:p>
    <w:p>
      <w:pPr>
        <w:pStyle w:val="Normal"/>
        <w:numPr>
          <w:ilvl w:val="1"/>
          <w:numId w:val="11"/>
        </w:numPr>
        <w:spacing w:before="60" w:after="6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Czy wszystkie wymagane pola zostały wypełnione?</w:t>
      </w:r>
    </w:p>
    <w:p>
      <w:pPr>
        <w:pStyle w:val="Normal"/>
        <w:numPr>
          <w:ilvl w:val="1"/>
          <w:numId w:val="11"/>
        </w:numPr>
        <w:spacing w:before="60" w:after="6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i w:val="false"/>
          <w:iCs w:val="false"/>
          <w:sz w:val="20"/>
          <w:szCs w:val="20"/>
        </w:rPr>
        <w:t>Czy dołączono wymagane załączniki w sposób określony w ogłoszeniu?</w:t>
      </w:r>
    </w:p>
    <w:p>
      <w:pPr>
        <w:pStyle w:val="Normal"/>
        <w:numPr>
          <w:ilvl w:val="1"/>
          <w:numId w:val="11"/>
        </w:numPr>
        <w:spacing w:before="60" w:after="6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i w:val="false"/>
          <w:iCs w:val="false"/>
          <w:sz w:val="20"/>
          <w:szCs w:val="20"/>
        </w:rPr>
        <w:t>Czy kopie są potwierdzone za zgodność z oryginałem (w przypadku składania ich papierowo)?</w:t>
      </w:r>
    </w:p>
    <w:p>
      <w:pPr>
        <w:pStyle w:val="Normal"/>
        <w:numPr>
          <w:ilvl w:val="0"/>
          <w:numId w:val="10"/>
        </w:numPr>
        <w:spacing w:before="60" w:after="6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W przypadku stwierdzenia podczas oceny formalnej, że do oferty nie zostały dołączone wymagane załączniki lub załączniki nie zostały opatrzone podpisem lub w przypadku kopii składnych papierowo - nie zostały potwierdzone za zgodność z oryginałem, oferent zostanie wezwany do uzupełnienia braku formalnego we wskazanym terminie, pod rygorem pozostawienia oferty bez rozpatrzenia. </w:t>
      </w:r>
    </w:p>
    <w:p>
      <w:pPr>
        <w:pStyle w:val="Normal"/>
        <w:numPr>
          <w:ilvl w:val="0"/>
          <w:numId w:val="10"/>
        </w:numPr>
        <w:spacing w:before="60" w:after="6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Oferty spełniające wszystkie wymogi formalne zostaną poddane ocenie merytorycznej, podczas której będą stosowane następujące kryteria:</w:t>
      </w:r>
    </w:p>
    <w:p>
      <w:pPr>
        <w:pStyle w:val="Normal"/>
        <w:numPr>
          <w:ilvl w:val="0"/>
          <w:numId w:val="0"/>
        </w:numPr>
        <w:spacing w:before="60" w:after="60"/>
        <w:ind w:left="720" w:hanging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ListParagraph"/>
        <w:numPr>
          <w:ilvl w:val="0"/>
          <w:numId w:val="0"/>
        </w:numPr>
        <w:ind w:left="1146" w:right="0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  <w:u w:val="none"/>
        </w:rPr>
        <w:t xml:space="preserve">5.1 </w:t>
      </w:r>
      <w:r>
        <w:rPr>
          <w:rFonts w:cs="Arial" w:ascii="Arial" w:hAnsi="Arial"/>
          <w:b/>
          <w:sz w:val="20"/>
          <w:szCs w:val="20"/>
          <w:u w:val="single"/>
        </w:rPr>
        <w:t>ZAWARTOŚĆ MERYTORYCZNA</w:t>
      </w:r>
      <w:r>
        <w:rPr>
          <w:rFonts w:cs="Arial" w:ascii="Arial" w:hAnsi="Arial"/>
          <w:b/>
          <w:sz w:val="20"/>
          <w:szCs w:val="20"/>
        </w:rPr>
        <w:t xml:space="preserve"> </w:t>
      </w:r>
      <w:r>
        <w:rPr>
          <w:rFonts w:cs="Arial" w:ascii="Arial" w:hAnsi="Arial"/>
          <w:b w:val="false"/>
          <w:bCs w:val="false"/>
          <w:sz w:val="20"/>
          <w:szCs w:val="20"/>
          <w:lang w:val="pl-PL" w:bidi="ar-SA"/>
        </w:rPr>
        <w:t>ocena możliwości i jakości realizacji zadania publicznego oraz kwalifikacji osób, przy udziale których będzie realizowane zadanie (doświadczenie, kompetencje i zaangażowanie)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 </w:t>
      </w:r>
      <w:r>
        <w:rPr>
          <w:rFonts w:cs="Arial" w:ascii="Arial" w:hAnsi="Arial"/>
          <w:b/>
          <w:bCs/>
          <w:sz w:val="20"/>
          <w:szCs w:val="20"/>
        </w:rPr>
        <w:t>0 – 17 pkt:</w:t>
      </w:r>
    </w:p>
    <w:p>
      <w:pPr>
        <w:pStyle w:val="Normal"/>
        <w:widowControl/>
        <w:numPr>
          <w:ilvl w:val="0"/>
          <w:numId w:val="12"/>
        </w:numPr>
        <w:suppressAutoHyphens w:val="true"/>
        <w:overflowPunct w:val="false"/>
        <w:bidi w:val="0"/>
        <w:spacing w:before="0" w:after="0"/>
        <w:ind w:left="1020" w:right="0" w:hanging="34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spójność celu realizacji zadania publicznego określonego w ogłoszeniu konkursowym z ofertą</w:t>
        <w:br/>
        <w:t xml:space="preserve">0 – 1 pkt </w:t>
      </w:r>
    </w:p>
    <w:p>
      <w:pPr>
        <w:pStyle w:val="Normal"/>
        <w:widowControl/>
        <w:numPr>
          <w:ilvl w:val="0"/>
          <w:numId w:val="0"/>
        </w:numPr>
        <w:suppressAutoHyphens w:val="true"/>
        <w:overflowPunct w:val="false"/>
        <w:bidi w:val="0"/>
        <w:spacing w:before="0" w:after="0"/>
        <w:ind w:left="1400" w:right="0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  <w:lang w:val="pl-PL" w:bidi="ar-SA"/>
        </w:rPr>
        <w:t>(</w:t>
      </w:r>
      <w:r>
        <w:rPr>
          <w:rFonts w:cs="Arial" w:ascii="Arial" w:hAnsi="Arial"/>
          <w:b w:val="false"/>
          <w:bCs w:val="false"/>
          <w:i/>
          <w:sz w:val="20"/>
          <w:szCs w:val="20"/>
          <w:lang w:val="pl-PL" w:bidi="ar-SA"/>
        </w:rPr>
        <w:t>Przyznanie 0 punktów w punkcie „spójność celu realizacji zadania publicznego określonego w ogłoszeniu konkursowym z ofertą”  - wyklucza możliwość otrzymania dotacji)</w:t>
      </w:r>
    </w:p>
    <w:p>
      <w:pPr>
        <w:pStyle w:val="Normal"/>
        <w:widowControl/>
        <w:numPr>
          <w:ilvl w:val="0"/>
          <w:numId w:val="12"/>
        </w:numPr>
        <w:suppressAutoHyphens w:val="true"/>
        <w:overflowPunct w:val="false"/>
        <w:bidi w:val="0"/>
        <w:spacing w:before="0" w:after="0"/>
        <w:ind w:left="1020" w:right="0" w:hanging="34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  <w:lang w:val="pl-PL" w:bidi="ar-SA"/>
        </w:rPr>
        <w:t>przejrzystość syntetycznego opisu działań: opis grupy docelowej, informacja o miejscu realizacji zadania, opis potrzeb realizacji zadania i zgodność z dokumentami strategicznymi miasta 0 – 4 pkt,</w:t>
      </w:r>
    </w:p>
    <w:p>
      <w:pPr>
        <w:pStyle w:val="Normal"/>
        <w:widowControl/>
        <w:numPr>
          <w:ilvl w:val="1"/>
          <w:numId w:val="12"/>
        </w:numPr>
        <w:suppressAutoHyphens w:val="true"/>
        <w:overflowPunct w:val="false"/>
        <w:bidi w:val="0"/>
        <w:spacing w:before="0" w:after="0"/>
        <w:ind w:left="1020" w:right="0" w:hanging="34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  <w:lang w:val="pl-PL" w:bidi="ar-SA"/>
        </w:rPr>
        <w:t>opis planu i harmonogramu działań – czy jasno wynika co w ramach zadania będzie się działo, w tym ocena możliwości realizacji, kompleksowość i atrakcyjność proponowanych działań 0 – 4 pkt,</w:t>
      </w:r>
    </w:p>
    <w:p>
      <w:pPr>
        <w:pStyle w:val="Normal"/>
        <w:widowControl/>
        <w:numPr>
          <w:ilvl w:val="1"/>
          <w:numId w:val="12"/>
        </w:numPr>
        <w:suppressAutoHyphens w:val="true"/>
        <w:overflowPunct w:val="false"/>
        <w:bidi w:val="0"/>
        <w:spacing w:before="0" w:after="0"/>
        <w:ind w:left="1020" w:right="0" w:hanging="34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  <w:lang w:val="pl-PL" w:bidi="ar-SA"/>
        </w:rPr>
        <w:t>spójność rezultatów z ogłoszonym zadaniem konkursowym, adekwatność monitorowania rezultatów 0 – 2 pkt,</w:t>
      </w:r>
    </w:p>
    <w:p>
      <w:pPr>
        <w:pStyle w:val="Normal"/>
        <w:widowControl/>
        <w:numPr>
          <w:ilvl w:val="1"/>
          <w:numId w:val="12"/>
        </w:numPr>
        <w:suppressAutoHyphens w:val="true"/>
        <w:overflowPunct w:val="false"/>
        <w:bidi w:val="0"/>
        <w:spacing w:before="0" w:after="0"/>
        <w:ind w:left="1020" w:right="0" w:hanging="34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  <w:lang w:val="pl-PL" w:bidi="ar-SA"/>
        </w:rPr>
        <w:t>promocja zadania (w tym zasięg promocyjny na terenie miasta Tychy) 0 – 1 pkt,</w:t>
      </w:r>
    </w:p>
    <w:p>
      <w:pPr>
        <w:pStyle w:val="Normal"/>
        <w:widowControl/>
        <w:numPr>
          <w:ilvl w:val="1"/>
          <w:numId w:val="12"/>
        </w:numPr>
        <w:suppressAutoHyphens w:val="true"/>
        <w:overflowPunct w:val="false"/>
        <w:bidi w:val="0"/>
        <w:spacing w:before="0" w:after="0"/>
        <w:ind w:left="1020" w:right="0" w:hanging="34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  <w:lang w:val="pl-PL" w:bidi="ar-SA"/>
        </w:rPr>
        <w:t>opis ryzyk mogących wystąpić w trakcie realizacji zadania 0 – 1 pkt,</w:t>
      </w:r>
    </w:p>
    <w:p>
      <w:pPr>
        <w:pStyle w:val="Normal"/>
        <w:widowControl/>
        <w:numPr>
          <w:ilvl w:val="1"/>
          <w:numId w:val="12"/>
        </w:numPr>
        <w:suppressAutoHyphens w:val="true"/>
        <w:overflowPunct w:val="false"/>
        <w:bidi w:val="0"/>
        <w:spacing w:before="0" w:after="0"/>
        <w:ind w:left="1020" w:right="0" w:hanging="34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  <w:lang w:val="pl-PL" w:bidi="ar-SA"/>
        </w:rPr>
        <w:t>opis zasobów kadrowych, w tym kwalifikacje osób zaangażowanych przy realizacji zadania</w:t>
        <w:br/>
        <w:t>0 – 4 pkt.</w:t>
      </w:r>
    </w:p>
    <w:p>
      <w:pPr>
        <w:pStyle w:val="Normal"/>
        <w:widowControl/>
        <w:numPr>
          <w:ilvl w:val="0"/>
          <w:numId w:val="0"/>
        </w:numPr>
        <w:suppressAutoHyphens w:val="true"/>
        <w:overflowPunct w:val="false"/>
        <w:bidi w:val="0"/>
        <w:spacing w:before="0" w:after="0"/>
        <w:ind w:left="1400" w:right="0" w:hanging="0"/>
        <w:jc w:val="both"/>
        <w:rPr>
          <w:rFonts w:ascii="Arial" w:hAnsi="Arial" w:cs="Arial"/>
          <w:b w:val="false"/>
          <w:b w:val="false"/>
          <w:bCs w:val="false"/>
          <w:sz w:val="20"/>
          <w:szCs w:val="20"/>
          <w:lang w:val="pl-PL" w:bidi="ar-SA"/>
        </w:rPr>
      </w:pPr>
      <w:r>
        <w:rPr>
          <w:rFonts w:cs="Arial" w:ascii="Arial" w:hAnsi="Arial"/>
          <w:b w:val="false"/>
          <w:bCs w:val="false"/>
          <w:sz w:val="20"/>
          <w:szCs w:val="20"/>
          <w:lang w:val="pl-PL" w:bidi="ar-SA"/>
        </w:rPr>
      </w:r>
    </w:p>
    <w:p>
      <w:pPr>
        <w:pStyle w:val="ListParagraph"/>
        <w:numPr>
          <w:ilvl w:val="0"/>
          <w:numId w:val="0"/>
        </w:numPr>
        <w:ind w:left="1146" w:right="0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  <w:u w:val="none"/>
        </w:rPr>
        <w:t xml:space="preserve">5.2 </w:t>
      </w:r>
      <w:r>
        <w:rPr>
          <w:rFonts w:cs="Arial" w:ascii="Arial" w:hAnsi="Arial"/>
          <w:b/>
          <w:sz w:val="20"/>
          <w:szCs w:val="20"/>
          <w:u w:val="single"/>
        </w:rPr>
        <w:t>BUDŻET</w:t>
      </w:r>
      <w:r>
        <w:rPr>
          <w:rFonts w:cs="Arial" w:ascii="Arial" w:hAnsi="Arial"/>
          <w:b w:val="false"/>
          <w:bCs w:val="false"/>
          <w:sz w:val="20"/>
          <w:szCs w:val="20"/>
          <w:u w:val="none"/>
        </w:rPr>
        <w:t xml:space="preserve"> o</w:t>
      </w:r>
      <w:r>
        <w:rPr>
          <w:rFonts w:cs="Arial" w:ascii="Arial" w:hAnsi="Arial"/>
          <w:sz w:val="20"/>
          <w:szCs w:val="20"/>
        </w:rPr>
        <w:t xml:space="preserve">cena przedstawionej kalkulacji kosztów realizacji zadania publicznego, w tym w odniesieniu do zakresu rzeczowego zadania </w:t>
      </w:r>
      <w:r>
        <w:rPr>
          <w:rFonts w:cs="Arial" w:ascii="Arial" w:hAnsi="Arial"/>
          <w:b/>
          <w:bCs/>
          <w:sz w:val="20"/>
          <w:szCs w:val="20"/>
        </w:rPr>
        <w:t>0 – 4 pkt</w:t>
      </w:r>
    </w:p>
    <w:p>
      <w:pPr>
        <w:pStyle w:val="ListParagraph"/>
        <w:numPr>
          <w:ilvl w:val="0"/>
          <w:numId w:val="0"/>
        </w:numPr>
        <w:ind w:left="1146" w:right="0" w:hanging="0"/>
        <w:jc w:val="both"/>
        <w:rPr>
          <w:rFonts w:ascii="Arial" w:hAnsi="Arial" w:cs="Arial"/>
          <w:b/>
          <w:b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</w:r>
    </w:p>
    <w:p>
      <w:pPr>
        <w:pStyle w:val="ListParagraph"/>
        <w:numPr>
          <w:ilvl w:val="1"/>
          <w:numId w:val="13"/>
        </w:numPr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spójność kalkulacji z opisem działań 0 - 2 pkt</w:t>
      </w:r>
    </w:p>
    <w:p>
      <w:pPr>
        <w:pStyle w:val="ListParagraph"/>
        <w:numPr>
          <w:ilvl w:val="1"/>
          <w:numId w:val="13"/>
        </w:numPr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rzetelność i racjonalność stawek wskazanych w budż</w:t>
      </w:r>
      <w:r>
        <w:rPr>
          <w:rFonts w:cs="Arial" w:ascii="Arial" w:hAnsi="Arial"/>
          <w:sz w:val="20"/>
          <w:szCs w:val="20"/>
          <w:shd w:fill="FFFFFF" w:val="clear"/>
        </w:rPr>
        <w:t>ecie 0 - 2 pkt</w:t>
      </w:r>
    </w:p>
    <w:p>
      <w:pPr>
        <w:pStyle w:val="Normal"/>
        <w:widowControl/>
        <w:numPr>
          <w:ilvl w:val="0"/>
          <w:numId w:val="0"/>
        </w:numPr>
        <w:suppressAutoHyphens w:val="true"/>
        <w:overflowPunct w:val="false"/>
        <w:bidi w:val="0"/>
        <w:spacing w:before="0" w:after="0"/>
        <w:ind w:left="1800" w:right="0" w:hanging="0"/>
        <w:jc w:val="both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widowControl/>
        <w:numPr>
          <w:ilvl w:val="0"/>
          <w:numId w:val="0"/>
        </w:numPr>
        <w:suppressAutoHyphens w:val="true"/>
        <w:overflowPunct w:val="false"/>
        <w:bidi w:val="0"/>
        <w:spacing w:before="0" w:after="0"/>
        <w:ind w:left="737" w:right="0" w:firstLine="397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  <w:u w:val="none"/>
        </w:rPr>
        <w:t xml:space="preserve">5.3 </w:t>
      </w:r>
      <w:r>
        <w:rPr>
          <w:rFonts w:cs="Arial" w:ascii="Arial" w:hAnsi="Arial"/>
          <w:b/>
          <w:sz w:val="20"/>
          <w:szCs w:val="20"/>
          <w:u w:val="single"/>
        </w:rPr>
        <w:t>DOŚWIADCZENIE W REALIZACJI ZADAŃ W OBSZARZE KONKURSOWYM</w:t>
      </w:r>
      <w:r>
        <w:rPr>
          <w:rFonts w:cs="Arial" w:ascii="Arial" w:hAnsi="Arial"/>
          <w:b/>
          <w:sz w:val="20"/>
          <w:szCs w:val="20"/>
        </w:rPr>
        <w:t xml:space="preserve">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w tym analiza i ocena realizacji zleconych zadań publicznych w latach poprzednich, biorąc pod uwagę rzetelność i terminowość oraz sposób rozliczenia otrzymanych na ten cel środków </w:t>
      </w:r>
      <w:r>
        <w:rPr>
          <w:rFonts w:cs="Arial" w:ascii="Arial" w:hAnsi="Arial"/>
          <w:b/>
          <w:bCs/>
          <w:sz w:val="20"/>
          <w:szCs w:val="20"/>
        </w:rPr>
        <w:t>-1 – 2 pkt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 </w:t>
      </w:r>
    </w:p>
    <w:p>
      <w:pPr>
        <w:pStyle w:val="Normal"/>
        <w:numPr>
          <w:ilvl w:val="0"/>
          <w:numId w:val="0"/>
        </w:numPr>
        <w:ind w:left="720" w:hanging="0"/>
        <w:jc w:val="both"/>
        <w:rPr>
          <w:rFonts w:ascii="Arial" w:hAnsi="Arial" w:cs="Arial"/>
          <w:b w:val="false"/>
          <w:b w:val="false"/>
          <w:bCs w:val="false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</w:r>
    </w:p>
    <w:p>
      <w:pPr>
        <w:pStyle w:val="Normal"/>
        <w:widowControl/>
        <w:numPr>
          <w:ilvl w:val="0"/>
          <w:numId w:val="15"/>
        </w:numPr>
        <w:suppressAutoHyphens w:val="true"/>
        <w:overflowPunct w:val="false"/>
        <w:bidi w:val="0"/>
        <w:spacing w:before="0" w:after="0"/>
        <w:ind w:left="1020" w:right="0" w:hanging="34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współpraca  z miastem Tychy w zakresie pozafinansowym 0 – 1</w:t>
      </w:r>
    </w:p>
    <w:p>
      <w:pPr>
        <w:pStyle w:val="Normal"/>
        <w:widowControl/>
        <w:numPr>
          <w:ilvl w:val="0"/>
          <w:numId w:val="15"/>
        </w:numPr>
        <w:suppressAutoHyphens w:val="true"/>
        <w:overflowPunct w:val="false"/>
        <w:bidi w:val="0"/>
        <w:spacing w:before="0" w:after="0"/>
        <w:ind w:left="1020" w:right="0" w:hanging="34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współpraca z miastem Tychy w zakresie finansowym :</w:t>
      </w:r>
    </w:p>
    <w:p>
      <w:pPr>
        <w:pStyle w:val="Normal"/>
        <w:ind w:left="1416" w:right="0" w:hanging="0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minus </w:t>
      </w:r>
      <w:r>
        <w:rPr>
          <w:rFonts w:cs="Arial" w:ascii="Arial" w:hAnsi="Arial"/>
          <w:b w:val="false"/>
          <w:bCs w:val="false"/>
          <w:sz w:val="20"/>
          <w:szCs w:val="20"/>
        </w:rPr>
        <w:t>1</w:t>
      </w:r>
      <w:r>
        <w:rPr>
          <w:rFonts w:cs="Arial" w:ascii="Arial" w:hAnsi="Arial"/>
          <w:b/>
          <w:bCs/>
          <w:sz w:val="20"/>
          <w:szCs w:val="20"/>
        </w:rPr>
        <w:t xml:space="preserve"> </w:t>
      </w:r>
      <w:r>
        <w:rPr>
          <w:rFonts w:cs="Arial" w:ascii="Arial" w:hAnsi="Arial"/>
          <w:sz w:val="20"/>
          <w:szCs w:val="20"/>
        </w:rPr>
        <w:t>– zła</w:t>
      </w:r>
    </w:p>
    <w:p>
      <w:pPr>
        <w:pStyle w:val="Normal"/>
        <w:ind w:left="1416" w:right="0" w:hanging="0"/>
        <w:rPr>
          <w:rFonts w:ascii="Arial" w:hAnsi="Arial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0</w:t>
      </w:r>
      <w:r>
        <w:rPr>
          <w:rFonts w:cs="Arial" w:ascii="Arial" w:hAnsi="Arial"/>
          <w:sz w:val="20"/>
          <w:szCs w:val="20"/>
        </w:rPr>
        <w:t xml:space="preserve"> – brak realizacji zadania</w:t>
      </w:r>
    </w:p>
    <w:p>
      <w:pPr>
        <w:pStyle w:val="Normal"/>
        <w:ind w:left="1416" w:right="0" w:hanging="0"/>
        <w:rPr>
          <w:rFonts w:ascii="Arial" w:hAnsi="Arial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1 </w:t>
      </w:r>
      <w:r>
        <w:rPr>
          <w:rFonts w:cs="Arial" w:ascii="Arial" w:hAnsi="Arial"/>
          <w:sz w:val="20"/>
          <w:szCs w:val="20"/>
        </w:rPr>
        <w:t>– dobra</w:t>
      </w:r>
    </w:p>
    <w:p>
      <w:pPr>
        <w:pStyle w:val="Normal"/>
        <w:ind w:left="1416" w:right="0" w:hanging="0"/>
        <w:rPr>
          <w:rFonts w:ascii="Arial" w:hAnsi="Arial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2 </w:t>
      </w:r>
      <w:r>
        <w:rPr>
          <w:rFonts w:cs="Arial" w:ascii="Arial" w:hAnsi="Arial"/>
          <w:sz w:val="20"/>
          <w:szCs w:val="20"/>
        </w:rPr>
        <w:t>– bardzo dobra.</w:t>
      </w:r>
    </w:p>
    <w:p>
      <w:pPr>
        <w:pStyle w:val="Normal"/>
        <w:widowControl/>
        <w:numPr>
          <w:ilvl w:val="0"/>
          <w:numId w:val="0"/>
        </w:numPr>
        <w:suppressAutoHyphens w:val="true"/>
        <w:overflowPunct w:val="false"/>
        <w:bidi w:val="0"/>
        <w:spacing w:before="0" w:after="0"/>
        <w:ind w:left="720" w:right="0" w:hanging="0"/>
        <w:jc w:val="both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numPr>
          <w:ilvl w:val="0"/>
          <w:numId w:val="14"/>
        </w:numPr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  <w:lang w:eastAsia="ar-SA"/>
        </w:rPr>
        <w:t xml:space="preserve">Maksymalna liczba punktów do uzyskania - 23 pkt. </w:t>
      </w:r>
      <w:r>
        <w:rPr>
          <w:rFonts w:cs="Arial" w:ascii="Arial" w:hAnsi="Arial"/>
          <w:sz w:val="20"/>
          <w:szCs w:val="20"/>
        </w:rPr>
        <w:t>Minimalna liczba punktów wymagana do pozytywnej oceny merytorycznej to: 15.</w:t>
      </w:r>
    </w:p>
    <w:p>
      <w:pPr>
        <w:pStyle w:val="Normal"/>
        <w:numPr>
          <w:ilvl w:val="0"/>
          <w:numId w:val="14"/>
        </w:numPr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  <w:t>Oferta zostaje odrzucona z powodu:</w:t>
      </w:r>
    </w:p>
    <w:p>
      <w:pPr>
        <w:pStyle w:val="Normal"/>
        <w:numPr>
          <w:ilvl w:val="0"/>
          <w:numId w:val="0"/>
        </w:numPr>
        <w:ind w:left="720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  <w:t>- negatywnej oceny formalnej, tj. niespełnienia któregokolwiek z kryteriów formalnych;</w:t>
      </w:r>
    </w:p>
    <w:p>
      <w:pPr>
        <w:pStyle w:val="Normal"/>
        <w:numPr>
          <w:ilvl w:val="0"/>
          <w:numId w:val="0"/>
        </w:numPr>
        <w:ind w:left="720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  <w:t>- negatywnej oceny merytorycznej, tj. nie uzyskania minimalnej wymaganej liczby punktów.</w:t>
      </w:r>
    </w:p>
    <w:p>
      <w:pPr>
        <w:pStyle w:val="Normal"/>
        <w:numPr>
          <w:ilvl w:val="0"/>
          <w:numId w:val="14"/>
        </w:numPr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Z przebiegu konkursu sporządza się protokół, który jest przekazywany Prezydentowi Miasta lub Zastępcy Prezydenta.</w:t>
      </w:r>
      <w:r>
        <w:rPr>
          <w:rFonts w:cs="Arial" w:ascii="Arial" w:hAnsi="Arial"/>
          <w:color w:val="000000"/>
          <w:sz w:val="20"/>
          <w:szCs w:val="20"/>
        </w:rPr>
        <w:t xml:space="preserve"> </w:t>
      </w:r>
    </w:p>
    <w:p>
      <w:pPr>
        <w:pStyle w:val="Normal"/>
        <w:numPr>
          <w:ilvl w:val="0"/>
          <w:numId w:val="14"/>
        </w:numPr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  <w:t>Protokół, zawiera wykaz wszystkich złożonych ofert w ramach poszczególnych zadań konkursowych ze wskazaniem:</w:t>
      </w:r>
    </w:p>
    <w:p>
      <w:pPr>
        <w:pStyle w:val="Normal"/>
        <w:numPr>
          <w:ilvl w:val="0"/>
          <w:numId w:val="0"/>
        </w:numPr>
        <w:ind w:left="720" w:hang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</w:r>
    </w:p>
    <w:p>
      <w:pPr>
        <w:pStyle w:val="Normal"/>
        <w:numPr>
          <w:ilvl w:val="1"/>
          <w:numId w:val="14"/>
        </w:numPr>
        <w:ind w:left="1434" w:right="0" w:hanging="357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  <w:t>pełnej nazwy oferenta;</w:t>
      </w:r>
    </w:p>
    <w:p>
      <w:pPr>
        <w:pStyle w:val="Normal"/>
        <w:numPr>
          <w:ilvl w:val="1"/>
          <w:numId w:val="14"/>
        </w:numPr>
        <w:ind w:left="1434" w:right="0" w:hanging="357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  <w:t>nazwy zadania;</w:t>
      </w:r>
    </w:p>
    <w:p>
      <w:pPr>
        <w:pStyle w:val="Normal"/>
        <w:numPr>
          <w:ilvl w:val="1"/>
          <w:numId w:val="14"/>
        </w:numPr>
        <w:ind w:left="1434" w:right="0" w:hanging="357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  <w:t>informacji o pozytywnej bądź negatywnej ocenie formalnej oferty;</w:t>
      </w:r>
    </w:p>
    <w:p>
      <w:pPr>
        <w:pStyle w:val="Normal"/>
        <w:numPr>
          <w:ilvl w:val="1"/>
          <w:numId w:val="14"/>
        </w:numPr>
        <w:ind w:left="1434" w:right="0" w:hanging="357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  <w:t>informacji o ocenie merytorycznej – przyznanej liczbie punktów wraz z uzasadnieniem;</w:t>
      </w:r>
    </w:p>
    <w:p>
      <w:pPr>
        <w:pStyle w:val="Normal"/>
        <w:numPr>
          <w:ilvl w:val="1"/>
          <w:numId w:val="14"/>
        </w:numPr>
        <w:ind w:left="1434" w:right="0" w:hanging="357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  <w:t xml:space="preserve">wysokości </w:t>
      </w:r>
      <w:r>
        <w:rPr>
          <w:rFonts w:cs="Arial" w:ascii="Arial" w:hAnsi="Arial"/>
          <w:color w:val="000000"/>
          <w:sz w:val="20"/>
          <w:szCs w:val="20"/>
          <w:shd w:fill="FFFFFF" w:val="clear"/>
        </w:rPr>
        <w:t>wnioskowanej i przyznanej dotacji.</w:t>
      </w:r>
    </w:p>
    <w:p>
      <w:pPr>
        <w:pStyle w:val="Normal"/>
        <w:numPr>
          <w:ilvl w:val="0"/>
          <w:numId w:val="0"/>
        </w:numPr>
        <w:ind w:left="2157" w:right="0" w:hang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</w:r>
    </w:p>
    <w:p>
      <w:pPr>
        <w:pStyle w:val="Normal"/>
        <w:numPr>
          <w:ilvl w:val="0"/>
          <w:numId w:val="14"/>
        </w:numPr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Wyboru ofert wraz z decyzją o wysokości dotacji dokonuje Prezydent Miasta lub Zastępca Prezydenta ogłaszając wyniki  nie później w ciągu 14 dni od upływu terminu składania ofert.</w:t>
      </w:r>
    </w:p>
    <w:p>
      <w:pPr>
        <w:pStyle w:val="Normal"/>
        <w:numPr>
          <w:ilvl w:val="0"/>
          <w:numId w:val="14"/>
        </w:numPr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O wynikach konkursu oferenci zostaną powiadomieni pisemnie w ciągu 7 dni od daty ogłoszenia wyników konkursu.</w:t>
      </w:r>
    </w:p>
    <w:p>
      <w:pPr>
        <w:pStyle w:val="Normal"/>
        <w:numPr>
          <w:ilvl w:val="0"/>
          <w:numId w:val="14"/>
        </w:numPr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Od wyników konkursu nie przysługuje odwołanie.</w:t>
      </w:r>
    </w:p>
    <w:p>
      <w:pPr>
        <w:pStyle w:val="Normal"/>
        <w:numPr>
          <w:ilvl w:val="0"/>
          <w:numId w:val="14"/>
        </w:numPr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Po zakończeniu konkursu oferty nie będą zwracane.</w:t>
      </w:r>
    </w:p>
    <w:p>
      <w:pPr>
        <w:pStyle w:val="Normal"/>
        <w:numPr>
          <w:ilvl w:val="0"/>
          <w:numId w:val="14"/>
        </w:numPr>
        <w:jc w:val="both"/>
        <w:rPr/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 xml:space="preserve">Niniejsze ogłoszenie oraz ogłoszenie wyników konkursu zostaną umieszczone w Biuletynie Informacji Publicznej pod adresem: </w:t>
      </w:r>
      <w:hyperlink r:id="rId2">
        <w:r>
          <w:rPr>
            <w:rStyle w:val="Czeinternetowe"/>
            <w:rFonts w:cs="Arial" w:ascii="Arial" w:hAnsi="Arial"/>
            <w:sz w:val="20"/>
            <w:szCs w:val="20"/>
            <w:shd w:fill="FFFFFF" w:val="clear"/>
          </w:rPr>
          <w:t>http//www.mops.tychy.pl</w:t>
        </w:r>
      </w:hyperlink>
      <w:r>
        <w:rPr>
          <w:rFonts w:cs="Arial" w:ascii="Arial" w:hAnsi="Arial"/>
          <w:color w:val="000000"/>
          <w:sz w:val="20"/>
          <w:szCs w:val="20"/>
          <w:shd w:fill="FFFFFF" w:val="clear"/>
        </w:rPr>
        <w:t xml:space="preserve"> w zakładce: Konkursy, na tablicy ogłoszeń Miejskiego Ośrodka Pomocy Społecznej w Tychach, na stronie internetowej miasta razemtychy.pl w zakładce NGO – konkursy.</w:t>
      </w:r>
    </w:p>
    <w:p>
      <w:pPr>
        <w:pStyle w:val="Normal"/>
        <w:numPr>
          <w:ilvl w:val="0"/>
          <w:numId w:val="0"/>
        </w:numPr>
        <w:ind w:left="720" w:hanging="0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  <w:u w:val="single"/>
        </w:rPr>
        <w:t>ZASTRZEŻENIA ORGANIZATORA KONKURSU:</w:t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360" w:leader="none"/>
          <w:tab w:val="left" w:pos="426" w:leader="none"/>
        </w:tabs>
        <w:suppressAutoHyphens w:val="true"/>
        <w:spacing w:before="120" w:after="0"/>
        <w:ind w:left="720" w:right="0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Organizator konkursu zastrzega sobie prawo do: </w:t>
      </w:r>
    </w:p>
    <w:p>
      <w:pPr>
        <w:pStyle w:val="Normal"/>
        <w:widowControl w:val="false"/>
        <w:numPr>
          <w:ilvl w:val="0"/>
          <w:numId w:val="18"/>
        </w:numPr>
        <w:tabs>
          <w:tab w:val="clear" w:pos="708"/>
          <w:tab w:val="left" w:pos="426" w:leader="none"/>
        </w:tabs>
        <w:suppressAutoHyphens w:val="true"/>
        <w:ind w:left="708" w:right="0" w:hanging="36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możliwości przesunięcia terminu składania ofert;</w:t>
      </w:r>
    </w:p>
    <w:p>
      <w:pPr>
        <w:pStyle w:val="Normal"/>
        <w:widowControl w:val="false"/>
        <w:numPr>
          <w:ilvl w:val="0"/>
          <w:numId w:val="18"/>
        </w:numPr>
        <w:tabs>
          <w:tab w:val="clear" w:pos="708"/>
          <w:tab w:val="left" w:pos="426" w:leader="none"/>
        </w:tabs>
        <w:suppressAutoHyphens w:val="true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zmiany terminu zakończenia postępowania konkursowego;</w:t>
      </w:r>
    </w:p>
    <w:p>
      <w:pPr>
        <w:pStyle w:val="Normal"/>
        <w:widowControl w:val="false"/>
        <w:numPr>
          <w:ilvl w:val="0"/>
          <w:numId w:val="18"/>
        </w:numPr>
        <w:tabs>
          <w:tab w:val="clear" w:pos="708"/>
          <w:tab w:val="left" w:pos="426" w:leader="none"/>
        </w:tabs>
        <w:suppressAutoHyphens w:val="true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  <w:t>unieważnienia konkursu.</w:t>
      </w:r>
    </w:p>
    <w:p>
      <w:pPr>
        <w:pStyle w:val="Normal"/>
        <w:widowControl w:val="false"/>
        <w:suppressAutoHyphens w:val="true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</w:r>
    </w:p>
    <w:p>
      <w:pPr>
        <w:pStyle w:val="Tekstwstpniesformatowany"/>
        <w:tabs>
          <w:tab w:val="clear" w:pos="708"/>
          <w:tab w:val="left" w:pos="190" w:leader="none"/>
        </w:tabs>
        <w:spacing w:lineRule="auto" w:line="240"/>
        <w:jc w:val="center"/>
        <w:rPr>
          <w:rFonts w:ascii="Arial" w:hAnsi="Arial" w:cs="Arial"/>
          <w:b/>
          <w:b/>
          <w:bCs/>
          <w:i w:val="false"/>
          <w:i w:val="false"/>
          <w:iCs w:val="false"/>
          <w:sz w:val="20"/>
          <w:szCs w:val="20"/>
          <w:u w:val="none"/>
        </w:rPr>
      </w:pPr>
      <w:r>
        <w:rPr>
          <w:rFonts w:cs="Arial" w:ascii="Arial" w:hAnsi="Arial"/>
          <w:b/>
          <w:bCs/>
          <w:i w:val="false"/>
          <w:iCs w:val="false"/>
          <w:sz w:val="20"/>
          <w:szCs w:val="20"/>
          <w:u w:val="none"/>
        </w:rPr>
      </w:r>
    </w:p>
    <w:p>
      <w:pPr>
        <w:pStyle w:val="Tekstwstpniesformatowany"/>
        <w:tabs>
          <w:tab w:val="clear" w:pos="708"/>
          <w:tab w:val="left" w:pos="190" w:leader="none"/>
        </w:tabs>
        <w:spacing w:lineRule="auto" w:line="240"/>
        <w:jc w:val="center"/>
        <w:rPr/>
      </w:pPr>
      <w:r>
        <w:rPr>
          <w:rStyle w:val="Domylnaczcionkaakapitu"/>
          <w:rFonts w:cs="Arial" w:ascii="Arial" w:hAnsi="Arial"/>
          <w:b/>
          <w:bCs/>
          <w:i w:val="false"/>
          <w:iCs w:val="false"/>
          <w:sz w:val="20"/>
          <w:szCs w:val="20"/>
          <w:u w:val="none"/>
        </w:rPr>
        <w:t xml:space="preserve">Klauzula informacyjna dotycząca przetwarzania danych osobowych </w:t>
      </w:r>
      <w:r>
        <w:rPr>
          <w:rStyle w:val="Domylnaczcionkaakapitu"/>
          <w:rFonts w:eastAsia="Times New Roman" w:cs="Arial" w:ascii="Arial" w:hAnsi="Arial"/>
          <w:b/>
          <w:bCs/>
          <w:sz w:val="20"/>
          <w:szCs w:val="20"/>
          <w:lang w:eastAsia="pl-PL"/>
        </w:rPr>
        <w:t xml:space="preserve"> </w:t>
      </w:r>
    </w:p>
    <w:p>
      <w:pPr>
        <w:pStyle w:val="Tekstwstpniesformatowany"/>
        <w:tabs>
          <w:tab w:val="clear" w:pos="708"/>
          <w:tab w:val="left" w:pos="190" w:leader="none"/>
        </w:tabs>
        <w:spacing w:lineRule="auto" w:line="240"/>
        <w:jc w:val="both"/>
        <w:rPr>
          <w:rFonts w:ascii="Arial" w:hAnsi="Arial" w:eastAsia="Times New Roman" w:cs="Calibri"/>
          <w:sz w:val="20"/>
          <w:szCs w:val="20"/>
          <w:lang w:val="pl-PL" w:eastAsia="pl-PL" w:bidi="ar-SA"/>
        </w:rPr>
      </w:pPr>
      <w:r>
        <w:rPr>
          <w:rFonts w:eastAsia="Times New Roman" w:cs="Calibri" w:ascii="Arial" w:hAnsi="Arial"/>
          <w:sz w:val="20"/>
          <w:szCs w:val="20"/>
          <w:lang w:val="pl-PL" w:eastAsia="pl-PL" w:bidi="ar-SA"/>
        </w:rPr>
      </w:r>
    </w:p>
    <w:p>
      <w:pPr>
        <w:pStyle w:val="Akapitzlist"/>
        <w:widowControl w:val="false"/>
        <w:tabs>
          <w:tab w:val="clear" w:pos="708"/>
          <w:tab w:val="left" w:pos="-426" w:leader="none"/>
        </w:tabs>
        <w:suppressAutoHyphens w:val="true"/>
        <w:spacing w:before="0" w:after="150"/>
        <w:ind w:left="0" w:right="0" w:hanging="0"/>
        <w:jc w:val="both"/>
        <w:rPr/>
      </w:pPr>
      <w:r>
        <w:rPr>
          <w:rStyle w:val="Domylnaczcionkaakapitu"/>
          <w:rFonts w:eastAsia="Times New Roman" w:cs="Arial" w:ascii="Arial" w:hAnsi="Arial"/>
          <w:sz w:val="20"/>
          <w:szCs w:val="20"/>
          <w:lang w:eastAsia="pl-PL"/>
        </w:rPr>
        <w:t xml:space="preserve"> </w:t>
      </w:r>
      <w:r>
        <w:rPr>
          <w:rStyle w:val="Domylnaczcionkaakapitu"/>
          <w:rFonts w:eastAsia="Times New Roman" w:cs="Arial" w:ascii="Arial" w:hAnsi="Arial"/>
          <w:sz w:val="20"/>
          <w:szCs w:val="20"/>
          <w:lang w:eastAsia="pl-PL"/>
        </w:rPr>
        <w:t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dalej „RODO”, informuję, że:</w:t>
      </w:r>
    </w:p>
    <w:p>
      <w:pPr>
        <w:pStyle w:val="Akapitzlist"/>
        <w:widowControl w:val="false"/>
        <w:tabs>
          <w:tab w:val="clear" w:pos="708"/>
          <w:tab w:val="left" w:pos="-426" w:leader="none"/>
        </w:tabs>
        <w:suppressAutoHyphens w:val="true"/>
        <w:spacing w:before="0" w:after="150"/>
        <w:ind w:left="720" w:right="0" w:hanging="0"/>
        <w:jc w:val="both"/>
        <w:rPr/>
      </w:pPr>
      <w:r>
        <w:rPr>
          <w:rStyle w:val="Domylnaczcionkaakapitu"/>
          <w:rFonts w:eastAsia="Times New Roman" w:cs="Arial" w:ascii="Arial" w:hAnsi="Arial"/>
          <w:sz w:val="20"/>
          <w:szCs w:val="20"/>
          <w:lang w:eastAsia="pl-PL"/>
        </w:rPr>
        <w:t>- administratorem danych osobowych w odniesieniu do osób fizycznych jest Miejski Ośrodek Pomocy Społecznej ul. Budowlanych 59, 43-100 Tychy, nr tel. 32 323 22 61, adres e-mail: sekretariat@mops.tychy.pl</w:t>
      </w:r>
      <w:r>
        <w:rPr>
          <w:rStyle w:val="Domylnaczcionkaakapitu"/>
          <w:rFonts w:eastAsia="Times New Roman" w:cs="Arial" w:ascii="Arial" w:hAnsi="Arial"/>
          <w:i/>
          <w:sz w:val="20"/>
          <w:szCs w:val="20"/>
          <w:lang w:eastAsia="pl-PL"/>
        </w:rPr>
        <w:t>;</w:t>
      </w:r>
      <w:r>
        <w:rPr>
          <w:rStyle w:val="Domylnaczcionkaakapitu"/>
          <w:rFonts w:eastAsia="Times New Roman" w:cs="Arial" w:ascii="Arial" w:hAnsi="Arial"/>
          <w:sz w:val="20"/>
          <w:szCs w:val="20"/>
          <w:lang w:eastAsia="pl-PL"/>
        </w:rPr>
        <w:t xml:space="preserve"> </w:t>
      </w:r>
    </w:p>
    <w:p>
      <w:pPr>
        <w:pStyle w:val="Akapitzlist"/>
        <w:widowControl w:val="false"/>
        <w:tabs>
          <w:tab w:val="clear" w:pos="708"/>
          <w:tab w:val="left" w:pos="-426" w:leader="none"/>
        </w:tabs>
        <w:suppressAutoHyphens w:val="true"/>
        <w:spacing w:before="0" w:after="150"/>
        <w:ind w:left="720" w:right="0" w:hanging="0"/>
        <w:jc w:val="both"/>
        <w:rPr/>
      </w:pPr>
      <w:r>
        <w:rPr>
          <w:rStyle w:val="Domylnaczcionkaakapitu"/>
          <w:rFonts w:eastAsia="Times New Roman" w:cs="Arial" w:ascii="Arial" w:hAnsi="Arial"/>
          <w:sz w:val="20"/>
          <w:szCs w:val="20"/>
          <w:lang w:eastAsia="pl-PL"/>
        </w:rPr>
        <w:t xml:space="preserve">- Miejski Ośrodek Pomocy Społecznej w Tychach wyznaczył </w:t>
      </w:r>
      <w:r>
        <w:rPr>
          <w:rStyle w:val="Domylnaczcionkaakapitu"/>
          <w:rFonts w:eastAsia="Times New Roman" w:cs="Arial" w:ascii="Arial" w:hAnsi="Arial"/>
          <w:i/>
          <w:iCs/>
          <w:sz w:val="20"/>
          <w:szCs w:val="20"/>
          <w:lang w:eastAsia="pl-PL"/>
        </w:rPr>
        <w:t>i</w:t>
      </w:r>
      <w:r>
        <w:rPr>
          <w:rStyle w:val="Domylnaczcionkaakapitu"/>
          <w:rFonts w:eastAsia="Times New Roman" w:cs="Arial" w:ascii="Arial" w:hAnsi="Arial"/>
          <w:sz w:val="20"/>
          <w:szCs w:val="20"/>
          <w:lang w:eastAsia="pl-PL"/>
        </w:rPr>
        <w:t>nspektor</w:t>
      </w:r>
      <w:r>
        <w:rPr>
          <w:rStyle w:val="Domylnaczcionkaakapitu"/>
          <w:rFonts w:eastAsia="Times New Roman" w:cs="Arial" w:ascii="Arial" w:hAnsi="Arial"/>
          <w:i/>
          <w:iCs/>
          <w:sz w:val="20"/>
          <w:szCs w:val="20"/>
          <w:lang w:eastAsia="pl-PL"/>
        </w:rPr>
        <w:t xml:space="preserve">a ochrony danych osobowych </w:t>
      </w:r>
      <w:r>
        <w:rPr>
          <w:rStyle w:val="Domylnaczcionkaakapitu"/>
          <w:rFonts w:eastAsia="Times New Roman" w:cs="Arial" w:ascii="Arial" w:hAnsi="Arial"/>
          <w:sz w:val="20"/>
          <w:szCs w:val="20"/>
          <w:lang w:eastAsia="pl-PL"/>
        </w:rPr>
        <w:t xml:space="preserve">z którym można się kontaktować pod adresem  e-mail: </w:t>
      </w:r>
      <w:hyperlink r:id="rId3">
        <w:r>
          <w:rPr>
            <w:rStyle w:val="Czeinternetowe"/>
            <w:rFonts w:eastAsia="Times New Roman" w:cs="Arial" w:ascii="Arial" w:hAnsi="Arial"/>
            <w:i/>
            <w:iCs/>
            <w:sz w:val="20"/>
            <w:szCs w:val="20"/>
            <w:lang w:eastAsia="pl-PL"/>
          </w:rPr>
          <w:t>iod@mops.tychy.pl</w:t>
        </w:r>
      </w:hyperlink>
      <w:r>
        <w:rPr>
          <w:rStyle w:val="Domylnaczcionkaakapitu"/>
          <w:rFonts w:eastAsia="Times New Roman" w:cs="Arial" w:ascii="Arial" w:hAnsi="Arial"/>
          <w:i/>
          <w:iCs/>
          <w:sz w:val="20"/>
          <w:szCs w:val="20"/>
          <w:lang w:eastAsia="pl-PL"/>
        </w:rPr>
        <w:t>, telefon: 32 323 22 74;</w:t>
      </w:r>
    </w:p>
    <w:p>
      <w:pPr>
        <w:pStyle w:val="Akapitzlist"/>
        <w:tabs>
          <w:tab w:val="clear" w:pos="708"/>
          <w:tab w:val="left" w:pos="-426" w:leader="none"/>
        </w:tabs>
        <w:spacing w:before="0" w:after="150"/>
        <w:ind w:left="720" w:right="0" w:hanging="0"/>
        <w:jc w:val="both"/>
        <w:rPr/>
      </w:pPr>
      <w:r>
        <w:rPr>
          <w:rStyle w:val="Domylnaczcionkaakapitu"/>
          <w:rFonts w:eastAsia="Times New Roman" w:cs="Arial" w:ascii="Arial" w:hAnsi="Arial"/>
          <w:sz w:val="20"/>
          <w:szCs w:val="20"/>
          <w:lang w:eastAsia="pl-PL"/>
        </w:rPr>
        <w:t>- Dane osobowe będą przetwarzane w celu przeprowadzenia otwartego konkursu ofert na realizację zadania publicznego i zawarcia umowy na: „</w:t>
      </w:r>
      <w:r>
        <w:rPr>
          <w:rStyle w:val="Domylnaczcionkaakapitu"/>
          <w:rFonts w:eastAsia="Times New Roman" w:cs="Arial" w:ascii="Arial" w:hAnsi="Arial"/>
          <w:b w:val="false"/>
          <w:bCs w:val="false"/>
          <w:color w:val="000000"/>
          <w:sz w:val="20"/>
          <w:szCs w:val="20"/>
          <w:lang w:eastAsia="pl-PL"/>
        </w:rPr>
        <w:t>Dystrybucję żywności do osób i rodzin najbardziej potrzebujących oraz prowadzenie działań w ramach środków towarzyszących mających na celu wzmacnianie samodzielności i kompetencji w prowadzeniu gospodarstwa domowego”,</w:t>
      </w:r>
      <w:r>
        <w:rPr>
          <w:rStyle w:val="Domylnaczcionkaakapitu"/>
          <w:rFonts w:eastAsia="Times New Roman" w:cs="Arial" w:ascii="Arial" w:hAnsi="Arial"/>
          <w:b w:val="false"/>
          <w:bCs w:val="false"/>
          <w:sz w:val="20"/>
          <w:szCs w:val="20"/>
          <w:lang w:eastAsia="pl-PL"/>
        </w:rPr>
        <w:t xml:space="preserve"> </w:t>
      </w:r>
      <w:r>
        <w:rPr>
          <w:rStyle w:val="Domylnaczcionkaakapitu"/>
          <w:rFonts w:eastAsia="Times New Roman" w:cs="Arial" w:ascii="Arial" w:hAnsi="Arial"/>
          <w:sz w:val="20"/>
          <w:szCs w:val="20"/>
          <w:lang w:eastAsia="pl-PL"/>
        </w:rPr>
        <w:t>na podstawie art. 6 ust. 1 lit. b) i c) RODO, zgodnie z ustawą z dnia 5 czerwca 1998 r. o samorządzie powiatowym (Dz.U. z 2022 r. poz. 1526 t.j.), ustawą z dnia 24 kwietnia 2003 r. o działalności pożytku publicznego i o wolontariacie (Dz.U. z 2022 r. poz. 1327 z późn. zm.),</w:t>
      </w:r>
    </w:p>
    <w:p>
      <w:pPr>
        <w:pStyle w:val="Akapitzlist"/>
        <w:tabs>
          <w:tab w:val="clear" w:pos="708"/>
          <w:tab w:val="left" w:pos="-426" w:leader="none"/>
        </w:tabs>
        <w:spacing w:before="0" w:after="150"/>
        <w:ind w:left="720" w:right="0" w:hanging="0"/>
        <w:jc w:val="both"/>
        <w:rPr/>
      </w:pPr>
      <w:r>
        <w:rPr>
          <w:rStyle w:val="Domylnaczcionkaakapitu"/>
          <w:rFonts w:eastAsia="Times New Roman" w:cs="Arial" w:ascii="Arial" w:hAnsi="Arial"/>
          <w:sz w:val="20"/>
          <w:szCs w:val="20"/>
          <w:lang w:eastAsia="pl-PL"/>
        </w:rPr>
        <w:t xml:space="preserve">- </w:t>
      </w:r>
      <w:r>
        <w:rPr>
          <w:rFonts w:cs="Arial" w:ascii="Arial" w:hAnsi="Arial"/>
          <w:sz w:val="20"/>
          <w:szCs w:val="20"/>
        </w:rPr>
        <w:t>Dane osobowe zostaną udostępnione członkom komisji konkursowej, innym uczestnikom konkursu oraz podmiotom, którym dane zostały powierzone do przetwarzania;</w:t>
      </w:r>
    </w:p>
    <w:p>
      <w:pPr>
        <w:pStyle w:val="Akapitzlist"/>
        <w:tabs>
          <w:tab w:val="clear" w:pos="708"/>
          <w:tab w:val="left" w:pos="-426" w:leader="none"/>
        </w:tabs>
        <w:spacing w:before="0" w:after="150"/>
        <w:ind w:left="720" w:right="0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- Dane osobowe będą przetwarzane do momentu zakończenia realizacji  zadania publicznego a następnie przechowywane przez okres 5 lat zgodnie z Instrukcją Kancelaryjną, a następnie po uzyskaniu pozytywnej opinii Archiwum Państwowego zostaną zbrakowane;</w:t>
      </w:r>
    </w:p>
    <w:p>
      <w:pPr>
        <w:pStyle w:val="Akapitzlist"/>
        <w:tabs>
          <w:tab w:val="clear" w:pos="708"/>
          <w:tab w:val="left" w:pos="-426" w:leader="none"/>
        </w:tabs>
        <w:spacing w:before="0" w:after="150"/>
        <w:ind w:left="720" w:right="0" w:hanging="0"/>
        <w:jc w:val="both"/>
        <w:rPr/>
      </w:pPr>
      <w:r>
        <w:rPr>
          <w:rFonts w:cs="Arial" w:ascii="Arial" w:hAnsi="Arial"/>
          <w:sz w:val="20"/>
          <w:szCs w:val="20"/>
        </w:rPr>
        <w:t>-  O</w:t>
      </w:r>
      <w:r>
        <w:rPr>
          <w:rStyle w:val="Domylnaczcionkaakapitu"/>
          <w:rFonts w:eastAsia="Times New Roman" w:cs="Arial" w:ascii="Arial" w:hAnsi="Arial"/>
          <w:sz w:val="20"/>
          <w:szCs w:val="20"/>
          <w:lang w:eastAsia="pl-PL"/>
        </w:rPr>
        <w:t>bowiązek podania danych osobowych jest wymogiem związanym z udziałem w postępowaniu konkursowym. Oferent powinien zapewnić, że wszystkie osoby, których dane osobowe zostaną podane, w związku z ofertą realizacji zadania, wyraziły zgodę na przetwarzanie tych danych na potrzeby przeprowadzenia konkursu</w:t>
      </w:r>
    </w:p>
    <w:p>
      <w:pPr>
        <w:pStyle w:val="Akapitzlist"/>
        <w:tabs>
          <w:tab w:val="clear" w:pos="708"/>
          <w:tab w:val="left" w:pos="-426" w:leader="none"/>
        </w:tabs>
        <w:spacing w:before="0" w:after="150"/>
        <w:ind w:left="720" w:right="0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- Uczestnikom konkursu przysługuje prawo do dostępu oraz sprostowania danych osobowych (skorzystanie z tego prawa nie może skutkować zmianą wyników konkursu oraz nie może naruszać integralności protokołu i jego załączników), usunięcia danych, ograniczenia przetwarzania lub wniesienia sprzeciwu wobec przetwarzania, w sytuacjach przewidzianych przepisami prawa;</w:t>
      </w:r>
    </w:p>
    <w:p>
      <w:pPr>
        <w:pStyle w:val="Akapitzlist"/>
        <w:tabs>
          <w:tab w:val="clear" w:pos="708"/>
          <w:tab w:val="left" w:pos="-426" w:leader="none"/>
        </w:tabs>
        <w:spacing w:before="0" w:after="150"/>
        <w:ind w:left="720" w:right="0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- W związku z przetwarzaniem danych osobowych przysługuje prawo do wniesienia skargi do organu nadzorczego, którym jest Prezes Urzędu Ochrony Danych Osobowych, gdy zajdzie podejrzenie, że przetwarzanie danych osobowych narusza przepisy RODO;</w:t>
      </w:r>
    </w:p>
    <w:p>
      <w:pPr>
        <w:pStyle w:val="Akapitzlist"/>
        <w:tabs>
          <w:tab w:val="clear" w:pos="708"/>
          <w:tab w:val="left" w:pos="-426" w:leader="none"/>
        </w:tabs>
        <w:spacing w:before="0" w:after="150"/>
        <w:ind w:left="720" w:right="0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- Podanie danych jest wymogiem ustawowym oraz warunkiem zawarcia umowy i jest dobrowolne, a ich niepodanie skutkować będzie odrzuceniem oferty lub niepodpisaniem umowy;</w:t>
      </w:r>
    </w:p>
    <w:p>
      <w:pPr>
        <w:pStyle w:val="Akapitzlist"/>
        <w:tabs>
          <w:tab w:val="clear" w:pos="708"/>
          <w:tab w:val="left" w:pos="-426" w:leader="none"/>
        </w:tabs>
        <w:spacing w:before="0" w:after="150"/>
        <w:ind w:left="720" w:right="0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- Dane nie będą podlegały zautomatyzowanemu podejmowaniu decyzji, w tym profilowaniu.</w:t>
      </w:r>
    </w:p>
    <w:p>
      <w:pPr>
        <w:pStyle w:val="Normal"/>
        <w:tabs>
          <w:tab w:val="clear" w:pos="708"/>
          <w:tab w:val="left" w:pos="2172" w:leader="none"/>
        </w:tabs>
        <w:spacing w:lineRule="auto" w:line="240" w:before="0" w:after="36"/>
        <w:ind w:left="0" w:right="0" w:hanging="0"/>
        <w:jc w:val="both"/>
        <w:rPr>
          <w:rStyle w:val="Domylnaczcionkaakapitu"/>
          <w:rFonts w:ascii="Arial" w:hAnsi="Arial" w:eastAsia="Times New Roman" w:cs="Calibri"/>
          <w:sz w:val="20"/>
          <w:szCs w:val="20"/>
          <w:lang w:val="pl-PL" w:eastAsia="pl-PL" w:bidi="ar-SA"/>
        </w:rPr>
      </w:pPr>
      <w:r>
        <w:rPr/>
      </w:r>
    </w:p>
    <w:p>
      <w:pPr>
        <w:pStyle w:val="Normal"/>
        <w:tabs>
          <w:tab w:val="clear" w:pos="708"/>
          <w:tab w:val="left" w:pos="2172" w:leader="none"/>
        </w:tabs>
        <w:spacing w:lineRule="auto" w:line="240" w:before="0" w:after="36"/>
        <w:ind w:left="0" w:right="0" w:hanging="0"/>
        <w:jc w:val="both"/>
        <w:rPr/>
      </w:pPr>
      <w:r>
        <w:rPr>
          <w:rStyle w:val="Domylnaczcionkaakapitu"/>
          <w:rFonts w:eastAsia="Times New Roman" w:cs="Calibri" w:ascii="Arial" w:hAnsi="Arial"/>
          <w:sz w:val="20"/>
          <w:szCs w:val="20"/>
          <w:lang w:val="pl-PL" w:eastAsia="pl-PL" w:bidi="ar-SA"/>
        </w:rPr>
        <w:t xml:space="preserve">Tychy, dnia: </w:t>
      </w:r>
      <w:r>
        <w:rPr>
          <w:rStyle w:val="Domylnaczcionkaakapitu"/>
          <w:rFonts w:eastAsia="Times New Roman" w:cs="Calibri" w:ascii="Arial" w:hAnsi="Arial"/>
          <w:sz w:val="20"/>
          <w:szCs w:val="20"/>
          <w:lang w:val="pl-PL" w:eastAsia="pl-PL" w:bidi="ar-SA"/>
        </w:rPr>
        <w:t>06</w:t>
      </w:r>
      <w:r>
        <w:rPr>
          <w:rStyle w:val="Domylnaczcionkaakapitu"/>
          <w:rFonts w:eastAsia="Times New Roman" w:cs="Calibri" w:ascii="Arial" w:hAnsi="Arial"/>
          <w:sz w:val="20"/>
          <w:szCs w:val="20"/>
          <w:lang w:val="pl-PL" w:eastAsia="pl-PL" w:bidi="ar-SA"/>
        </w:rPr>
        <w:t>.0</w:t>
      </w:r>
      <w:r>
        <w:rPr>
          <w:rStyle w:val="Domylnaczcionkaakapitu"/>
          <w:rFonts w:eastAsia="Times New Roman" w:cs="Calibri" w:ascii="Arial" w:hAnsi="Arial"/>
          <w:sz w:val="20"/>
          <w:szCs w:val="20"/>
          <w:lang w:val="pl-PL" w:eastAsia="pl-PL" w:bidi="ar-SA"/>
        </w:rPr>
        <w:t>2</w:t>
      </w:r>
      <w:r>
        <w:rPr>
          <w:rStyle w:val="Domylnaczcionkaakapitu"/>
          <w:rFonts w:eastAsia="Times New Roman" w:cs="Calibri" w:ascii="Arial" w:hAnsi="Arial"/>
          <w:sz w:val="20"/>
          <w:szCs w:val="20"/>
          <w:lang w:val="pl-PL" w:eastAsia="pl-PL" w:bidi="ar-SA"/>
        </w:rPr>
        <w:t>.202</w:t>
      </w:r>
      <w:r>
        <w:rPr>
          <w:rStyle w:val="Domylnaczcionkaakapitu"/>
          <w:rFonts w:eastAsia="Times New Roman" w:cs="Calibri" w:ascii="Arial" w:hAnsi="Arial"/>
          <w:sz w:val="20"/>
          <w:szCs w:val="20"/>
          <w:lang w:val="pl-PL" w:eastAsia="pl-PL" w:bidi="ar-SA"/>
        </w:rPr>
        <w:t>3</w:t>
      </w:r>
      <w:r>
        <w:rPr>
          <w:rStyle w:val="Domylnaczcionkaakapitu"/>
          <w:rFonts w:eastAsia="Times New Roman" w:cs="Calibri" w:ascii="Arial" w:hAnsi="Arial"/>
          <w:sz w:val="20"/>
          <w:szCs w:val="20"/>
          <w:lang w:val="pl-PL" w:eastAsia="pl-PL" w:bidi="ar-SA"/>
        </w:rPr>
        <w:t xml:space="preserve"> r.</w:t>
      </w:r>
    </w:p>
    <w:p>
      <w:pPr>
        <w:pStyle w:val="Normal"/>
        <w:tabs>
          <w:tab w:val="clear" w:pos="708"/>
          <w:tab w:val="left" w:pos="2172" w:leader="none"/>
        </w:tabs>
        <w:spacing w:lineRule="auto" w:line="240" w:before="0" w:after="150"/>
        <w:ind w:left="0" w:right="0" w:hanging="0"/>
        <w:jc w:val="both"/>
        <w:rPr/>
      </w:pPr>
      <w:r>
        <w:rPr>
          <w:rStyle w:val="Domylnaczcionkaakapitu"/>
          <w:rFonts w:eastAsia="Times New Roman" w:cs="Calibri" w:ascii="Arial" w:hAnsi="Arial"/>
          <w:sz w:val="20"/>
          <w:szCs w:val="20"/>
          <w:lang w:val="pl-PL" w:eastAsia="pl-PL" w:bidi="ar-SA"/>
        </w:rPr>
        <w:tab/>
        <w:tab/>
        <w:tab/>
        <w:tab/>
        <w:t xml:space="preserve">                       </w:t>
      </w:r>
    </w:p>
    <w:p>
      <w:pPr>
        <w:pStyle w:val="Normal"/>
        <w:tabs>
          <w:tab w:val="clear" w:pos="708"/>
          <w:tab w:val="left" w:pos="2172" w:leader="none"/>
        </w:tabs>
        <w:spacing w:lineRule="auto" w:line="240" w:before="0" w:after="150"/>
        <w:ind w:left="0" w:right="0" w:hanging="0"/>
        <w:jc w:val="both"/>
        <w:rPr/>
      </w:pPr>
      <w:r>
        <w:rPr>
          <w:rStyle w:val="Domylnaczcionkaakapitu"/>
          <w:rFonts w:eastAsia="Times New Roman" w:cs="Calibri" w:ascii="Arial" w:hAnsi="Arial"/>
          <w:sz w:val="20"/>
          <w:szCs w:val="20"/>
          <w:lang w:val="pl-PL" w:eastAsia="pl-PL" w:bidi="ar-SA"/>
        </w:rPr>
        <w:tab/>
        <w:tab/>
        <w:tab/>
        <w:tab/>
        <w:tab/>
        <w:tab/>
      </w:r>
      <w:r>
        <w:rPr>
          <w:rStyle w:val="Domylnaczcionkaakapitu"/>
          <w:rFonts w:eastAsia="Times New Roman" w:cs="Arial" w:ascii="Arial" w:hAnsi="Arial"/>
          <w:b w:val="false"/>
          <w:bCs w:val="false"/>
          <w:sz w:val="20"/>
          <w:szCs w:val="20"/>
          <w:lang w:val="pl-PL" w:eastAsia="pl-PL" w:bidi="ar-SA"/>
        </w:rPr>
        <w:t xml:space="preserve">PREZYDENT MIASTA </w:t>
      </w:r>
    </w:p>
    <w:p>
      <w:pPr>
        <w:pStyle w:val="Normal"/>
        <w:tabs>
          <w:tab w:val="clear" w:pos="708"/>
          <w:tab w:val="left" w:pos="2172" w:leader="none"/>
        </w:tabs>
        <w:spacing w:lineRule="auto" w:line="240" w:before="0" w:after="150"/>
        <w:ind w:left="0" w:right="0" w:hanging="0"/>
        <w:jc w:val="both"/>
        <w:rPr/>
      </w:pPr>
      <w:r>
        <w:rPr>
          <w:rStyle w:val="Domylnaczcionkaakapitu"/>
          <w:rFonts w:eastAsia="Times New Roman" w:cs="Arial" w:ascii="Arial" w:hAnsi="Arial"/>
          <w:b w:val="false"/>
          <w:bCs w:val="false"/>
          <w:sz w:val="20"/>
          <w:szCs w:val="20"/>
          <w:lang w:val="pl-PL" w:eastAsia="pl-PL" w:bidi="ar-SA"/>
        </w:rPr>
        <w:tab/>
        <w:tab/>
        <w:tab/>
        <w:tab/>
        <w:tab/>
        <w:tab/>
        <w:tab/>
        <w:t>TYCHY</w:t>
      </w:r>
    </w:p>
    <w:p>
      <w:pPr>
        <w:pStyle w:val="Normal"/>
        <w:tabs>
          <w:tab w:val="clear" w:pos="708"/>
          <w:tab w:val="left" w:pos="2172" w:leader="none"/>
        </w:tabs>
        <w:spacing w:lineRule="auto" w:line="240" w:before="0" w:after="150"/>
        <w:ind w:left="0" w:right="0" w:hanging="0"/>
        <w:jc w:val="both"/>
        <w:rPr/>
      </w:pPr>
      <w:r>
        <w:rPr>
          <w:rStyle w:val="Domylnaczcionkaakapitu"/>
          <w:rFonts w:eastAsia="Times New Roman" w:cs="Arial" w:ascii="Arial" w:hAnsi="Arial"/>
          <w:b w:val="false"/>
          <w:bCs w:val="false"/>
          <w:sz w:val="20"/>
          <w:szCs w:val="20"/>
          <w:lang w:val="pl-PL" w:eastAsia="pl-PL" w:bidi="ar-SA"/>
        </w:rPr>
        <w:tab/>
        <w:tab/>
        <w:tab/>
        <w:tab/>
        <w:tab/>
        <w:tab/>
        <w:t xml:space="preserve"> mgr inż. Andrzej Dziuba</w:t>
      </w:r>
      <w:r>
        <w:rPr>
          <w:rStyle w:val="Domylnaczcionkaakapitu"/>
          <w:rFonts w:eastAsia="Times New Roman" w:cs="Calibri" w:ascii="Arial" w:hAnsi="Arial"/>
          <w:b w:val="false"/>
          <w:bCs w:val="false"/>
          <w:sz w:val="20"/>
          <w:szCs w:val="20"/>
          <w:lang w:val="pl-PL" w:eastAsia="pl-PL" w:bidi="ar-SA"/>
        </w:rPr>
        <w:t xml:space="preserve">    </w:t>
      </w:r>
    </w:p>
    <w:sectPr>
      <w:footerReference w:type="default" r:id="rId4"/>
      <w:type w:val="nextPage"/>
      <w:pgSz w:w="11906" w:h="16838"/>
      <w:pgMar w:left="1191" w:right="1191" w:header="0" w:top="1361" w:footer="1361" w:bottom="178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roman"/>
    <w:pitch w:val="variable"/>
  </w:font>
  <w:font w:name="StarSymbol">
    <w:altName w:val="Arial Unicode MS"/>
    <w:charset w:val="01"/>
    <w:family w:val="roman"/>
    <w:pitch w:val="variable"/>
  </w:font>
  <w:font w:name="Wingdings">
    <w:charset w:val="01"/>
    <w:family w:val="roman"/>
    <w:pitch w:val="variable"/>
  </w:font>
  <w:font w:name="Symbol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right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8</w:t>
    </w:r>
    <w:r>
      <w:rPr/>
      <w:fldChar w:fldCharType="end"/>
    </w:r>
  </w:p>
  <w:p>
    <w:pPr>
      <w:pStyle w:val="Stopk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227"/>
        </w:tabs>
        <w:ind w:left="227" w:hanging="227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sz w:val="20"/>
        <w:b w:val="false"/>
        <w:bCs w:val="false"/>
        <w:rFonts w:ascii="Arial" w:hAnsi="Arial"/>
        <w:color w:val="00000A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2700" w:hanging="720"/>
      </w:pPr>
      <w:rPr>
        <w:sz w:val="20"/>
        <w:b/>
        <w:rFonts w:ascii="Arial" w:hAnsi="Arial"/>
      </w:rPr>
    </w:lvl>
    <w:lvl w:ilvl="3">
      <w:start w:val="1"/>
      <w:numFmt w:val="lowerLetter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b w:val="false"/>
        <w:bCs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b w:val="false"/>
        <w:szCs w:val="20"/>
        <w:bCs w:val="false"/>
        <w:rFonts w:ascii="Arial" w:hAnsi="Aria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false"/>
        <w:bCs w:val="false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false"/>
        <w:bCs w:val="false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 w:val="false"/>
        <w:bCs w:val="false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b w:val="false"/>
        <w:bCs w:val="false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b w:val="false"/>
        <w:bCs w:val="false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b w:val="false"/>
        <w:bCs w:val="false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b w:val="false"/>
        <w:bCs w:val="false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b w:val="false"/>
        <w:bCs w:val="false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false"/>
        <w:bCs w:val="false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b w:val="false"/>
        <w:bCs w:val="false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false"/>
        <w:bCs w:val="false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 w:val="false"/>
        <w:bCs w:val="false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b w:val="false"/>
        <w:bCs w:val="false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b w:val="false"/>
        <w:bCs w:val="false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b w:val="false"/>
        <w:bCs w:val="false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b w:val="false"/>
        <w:bCs w:val="false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b w:val="false"/>
        <w:bCs w:val="false"/>
      </w:rPr>
    </w:lvl>
  </w:abstractNum>
  <w:abstractNum w:abstractNumId="6"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  <w:rPr>
        <w:b w:val="false"/>
        <w:bCs w:val="false"/>
      </w:rPr>
    </w:lvl>
    <w:lvl w:ilvl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b w:val="false"/>
        <w:bCs w:val="false"/>
      </w:rPr>
    </w:lvl>
    <w:lvl w:ilvl="2">
      <w:start w:val="1"/>
      <w:numFmt w:val="decimal"/>
      <w:lvlText w:val="%3."/>
      <w:lvlJc w:val="left"/>
      <w:pPr>
        <w:tabs>
          <w:tab w:val="num" w:pos="2148"/>
        </w:tabs>
        <w:ind w:left="2148" w:hanging="360"/>
      </w:pPr>
      <w:rPr>
        <w:b w:val="false"/>
        <w:bCs w:val="false"/>
      </w:rPr>
    </w:lvl>
    <w:lvl w:ilvl="3">
      <w:start w:val="1"/>
      <w:numFmt w:val="decimal"/>
      <w:lvlText w:val="%4."/>
      <w:lvlJc w:val="left"/>
      <w:pPr>
        <w:tabs>
          <w:tab w:val="num" w:pos="2508"/>
        </w:tabs>
        <w:ind w:left="2508" w:hanging="360"/>
      </w:pPr>
      <w:rPr>
        <w:b w:val="false"/>
        <w:bCs w:val="false"/>
      </w:rPr>
    </w:lvl>
    <w:lvl w:ilvl="4">
      <w:start w:val="1"/>
      <w:numFmt w:val="decimal"/>
      <w:lvlText w:val="%5."/>
      <w:lvlJc w:val="left"/>
      <w:pPr>
        <w:tabs>
          <w:tab w:val="num" w:pos="2868"/>
        </w:tabs>
        <w:ind w:left="2868" w:hanging="360"/>
      </w:pPr>
      <w:rPr>
        <w:b w:val="false"/>
        <w:bCs w:val="false"/>
      </w:rPr>
    </w:lvl>
    <w:lvl w:ilvl="5">
      <w:start w:val="1"/>
      <w:numFmt w:val="decimal"/>
      <w:lvlText w:val="%6."/>
      <w:lvlJc w:val="left"/>
      <w:pPr>
        <w:tabs>
          <w:tab w:val="num" w:pos="3228"/>
        </w:tabs>
        <w:ind w:left="3228" w:hanging="360"/>
      </w:pPr>
      <w:rPr>
        <w:b w:val="false"/>
        <w:bCs w:val="false"/>
      </w:rPr>
    </w:lvl>
    <w:lvl w:ilvl="6">
      <w:start w:val="1"/>
      <w:numFmt w:val="decimal"/>
      <w:lvlText w:val="%7."/>
      <w:lvlJc w:val="left"/>
      <w:pPr>
        <w:tabs>
          <w:tab w:val="num" w:pos="3588"/>
        </w:tabs>
        <w:ind w:left="3588" w:hanging="360"/>
      </w:pPr>
      <w:rPr>
        <w:b w:val="false"/>
        <w:bCs w:val="false"/>
      </w:rPr>
    </w:lvl>
    <w:lvl w:ilvl="7">
      <w:start w:val="1"/>
      <w:numFmt w:val="decimal"/>
      <w:lvlText w:val="%8."/>
      <w:lvlJc w:val="left"/>
      <w:pPr>
        <w:tabs>
          <w:tab w:val="num" w:pos="3948"/>
        </w:tabs>
        <w:ind w:left="3948" w:hanging="360"/>
      </w:pPr>
      <w:rPr>
        <w:b w:val="false"/>
        <w:bCs w:val="false"/>
      </w:rPr>
    </w:lvl>
    <w:lvl w:ilvl="8">
      <w:start w:val="1"/>
      <w:numFmt w:val="decimal"/>
      <w:lvlText w:val="%9."/>
      <w:lvlJc w:val="left"/>
      <w:pPr>
        <w:tabs>
          <w:tab w:val="num" w:pos="4308"/>
        </w:tabs>
        <w:ind w:left="4308" w:hanging="360"/>
      </w:pPr>
      <w:rPr>
        <w:b w:val="false"/>
        <w:bCs w:val="false"/>
      </w:rPr>
    </w:lvl>
  </w:abstractNum>
  <w:abstractNum w:abstractNumId="8"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false"/>
        <w:bCs w:val="false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b w:val="false"/>
        <w:bCs w:val="false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b w:val="false"/>
        <w:bCs w:val="false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b w:val="false"/>
        <w:bCs w:val="false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b w:val="false"/>
        <w:bCs w:val="false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b w:val="false"/>
        <w:bCs w:val="false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b w:val="false"/>
        <w:bCs w:val="false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b w:val="false"/>
        <w:bCs w:val="false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b w:val="false"/>
        <w:bCs w:val="false"/>
      </w:rPr>
    </w:lvl>
  </w:abstractNum>
  <w:abstractNum w:abstractNumId="9"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false"/>
        <w:bCs w:val="false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b w:val="false"/>
        <w:bCs w:val="false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b w:val="false"/>
        <w:bCs w:val="false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b w:val="false"/>
        <w:bCs w:val="false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b w:val="false"/>
        <w:bCs w:val="false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b w:val="false"/>
        <w:bCs w:val="false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b w:val="false"/>
        <w:bCs w:val="false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b w:val="false"/>
        <w:bCs w:val="false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b w:val="false"/>
        <w:bCs w:val="false"/>
      </w:rPr>
    </w:lvl>
  </w:abstractNum>
  <w:abstractNum w:abstractNumId="10"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b w:val="false"/>
        <w:szCs w:val="20"/>
        <w:bCs w:val="fals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false"/>
        <w:bCs w:val="false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false"/>
        <w:bCs w:val="false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 w:val="false"/>
        <w:bCs w:val="false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b w:val="false"/>
        <w:bCs w:val="false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b w:val="false"/>
        <w:bCs w:val="false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b w:val="false"/>
        <w:bCs w:val="false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b w:val="false"/>
        <w:bCs w:val="false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b w:val="false"/>
        <w:bCs w:val="false"/>
      </w:rPr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false"/>
        <w:bCs w:val="false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b w:val="false"/>
        <w:bCs w:val="false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false"/>
        <w:bCs w:val="false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 w:val="false"/>
        <w:bCs w:val="false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b w:val="false"/>
        <w:bCs w:val="false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b w:val="false"/>
        <w:bCs w:val="false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b w:val="false"/>
        <w:bCs w:val="false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b w:val="false"/>
        <w:bCs w:val="false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b w:val="false"/>
        <w:bCs w:val="false"/>
      </w:rPr>
    </w:lvl>
  </w:abstractNum>
  <w:abstractNum w:abstractNumId="12"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sz w:val="20"/>
        <w:b w:val="false"/>
        <w:szCs w:val="20"/>
        <w:bCs w:val="false"/>
        <w:rFonts w:ascii="Calibri" w:hAnsi="Calibri"/>
      </w:rPr>
    </w:lvl>
    <w:lvl w:ilvl="1">
      <w:start w:val="3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b w:val="false"/>
        <w:bCs w:val="false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b w:val="false"/>
        <w:bCs w:val="false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b w:val="false"/>
        <w:bCs w:val="false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b w:val="false"/>
        <w:bCs w:val="false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b w:val="false"/>
        <w:bCs w:val="false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b w:val="false"/>
        <w:bCs w:val="false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b w:val="false"/>
        <w:bCs w:val="false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b w:val="false"/>
        <w:bCs w:val="false"/>
      </w:rPr>
    </w:lvl>
  </w:abstractNum>
  <w:abstractNum w:abstractNumId="13"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b w:val="false"/>
        <w:bCs w:val="false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b w:val="false"/>
        <w:bCs w:val="false"/>
      </w:rPr>
    </w:lvl>
    <w:lvl w:ilvl="2">
      <w:start w:val="1"/>
      <w:numFmt w:val="upperRoman"/>
      <w:lvlText w:val="%3."/>
      <w:lvlJc w:val="left"/>
      <w:pPr>
        <w:tabs>
          <w:tab w:val="num" w:pos="1440"/>
        </w:tabs>
        <w:ind w:left="1440" w:hanging="360"/>
      </w:pPr>
      <w:rPr>
        <w:b w:val="false"/>
        <w:bCs w:val="false"/>
      </w:rPr>
    </w:lvl>
    <w:lvl w:ilvl="3">
      <w:start w:val="1"/>
      <w:numFmt w:val="upperRoman"/>
      <w:lvlText w:val="%4."/>
      <w:lvlJc w:val="left"/>
      <w:pPr>
        <w:tabs>
          <w:tab w:val="num" w:pos="1800"/>
        </w:tabs>
        <w:ind w:left="1800" w:hanging="360"/>
      </w:pPr>
      <w:rPr>
        <w:b w:val="false"/>
        <w:bCs w:val="false"/>
      </w:rPr>
    </w:lvl>
    <w:lvl w:ilvl="4">
      <w:start w:val="1"/>
      <w:numFmt w:val="upperRoman"/>
      <w:lvlText w:val="%5."/>
      <w:lvlJc w:val="left"/>
      <w:pPr>
        <w:tabs>
          <w:tab w:val="num" w:pos="2160"/>
        </w:tabs>
        <w:ind w:left="2160" w:hanging="360"/>
      </w:pPr>
      <w:rPr>
        <w:b w:val="false"/>
        <w:bCs w:val="false"/>
      </w:rPr>
    </w:lvl>
    <w:lvl w:ilvl="5">
      <w:start w:val="1"/>
      <w:numFmt w:val="upperRoman"/>
      <w:lvlText w:val="%6."/>
      <w:lvlJc w:val="left"/>
      <w:pPr>
        <w:tabs>
          <w:tab w:val="num" w:pos="2520"/>
        </w:tabs>
        <w:ind w:left="2520" w:hanging="360"/>
      </w:pPr>
      <w:rPr>
        <w:b w:val="false"/>
        <w:bCs w:val="false"/>
      </w:rPr>
    </w:lvl>
    <w:lvl w:ilvl="6">
      <w:start w:val="1"/>
      <w:numFmt w:val="upperRoman"/>
      <w:lvlText w:val="%7."/>
      <w:lvlJc w:val="left"/>
      <w:pPr>
        <w:tabs>
          <w:tab w:val="num" w:pos="2880"/>
        </w:tabs>
        <w:ind w:left="2880" w:hanging="360"/>
      </w:pPr>
      <w:rPr>
        <w:b w:val="false"/>
        <w:bCs w:val="false"/>
      </w:rPr>
    </w:lvl>
    <w:lvl w:ilvl="7">
      <w:start w:val="1"/>
      <w:numFmt w:val="upperRoman"/>
      <w:lvlText w:val="%8."/>
      <w:lvlJc w:val="left"/>
      <w:pPr>
        <w:tabs>
          <w:tab w:val="num" w:pos="3240"/>
        </w:tabs>
        <w:ind w:left="3240" w:hanging="360"/>
      </w:pPr>
      <w:rPr>
        <w:b w:val="false"/>
        <w:bCs w:val="false"/>
      </w:rPr>
    </w:lvl>
    <w:lvl w:ilvl="8">
      <w:start w:val="1"/>
      <w:numFmt w:val="upperRoman"/>
      <w:lvlText w:val="%9."/>
      <w:lvlJc w:val="left"/>
      <w:pPr>
        <w:tabs>
          <w:tab w:val="num" w:pos="3600"/>
        </w:tabs>
        <w:ind w:left="3600" w:hanging="360"/>
      </w:pPr>
      <w:rPr>
        <w:b w:val="false"/>
        <w:bCs w:val="false"/>
      </w:rPr>
    </w:lvl>
  </w:abstractNum>
  <w:abstractNum w:abstractNumId="14"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b w:val="false"/>
        <w:bCs w:val="false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false"/>
        <w:bCs w:val="false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b w:val="false"/>
        <w:bCs w:val="false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b w:val="false"/>
        <w:bCs w:val="false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b w:val="false"/>
        <w:bCs w:val="false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b w:val="false"/>
        <w:bCs w:val="false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b w:val="false"/>
        <w:bCs w:val="false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b w:val="false"/>
        <w:bCs w:val="false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b w:val="false"/>
        <w:bCs w:val="false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b w:val="false"/>
        <w:bCs w:val="false"/>
      </w:rPr>
    </w:lvl>
  </w:abstractNum>
  <w:abstractNum w:abstractNumId="16"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788"/>
        </w:tabs>
        <w:ind w:left="1788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148"/>
        </w:tabs>
        <w:ind w:left="2148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868"/>
        </w:tabs>
        <w:ind w:left="2868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228"/>
        </w:tabs>
        <w:ind w:left="3228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948"/>
        </w:tabs>
        <w:ind w:left="3948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08"/>
        </w:tabs>
        <w:ind w:left="4308" w:hanging="360"/>
      </w:pPr>
      <w:rPr>
        <w:rFonts w:ascii="OpenSymbol" w:hAnsi="OpenSymbol" w:cs="OpenSymbol" w:hint="default"/>
      </w:rPr>
    </w:lvl>
  </w:abstractNum>
  <w:abstractNum w:abstractNumId="17"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1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w="http://schemas.openxmlformats.org/wordprocessingml/2006/main">
  <w:zoom w:percent="18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l-PL" w:eastAsia="pl-PL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4"/>
      <w:szCs w:val="24"/>
      <w:lang w:val="pl-PL" w:eastAsia="pl-PL" w:bidi="ar-SA"/>
    </w:rPr>
  </w:style>
  <w:style w:type="paragraph" w:styleId="Nagwek2">
    <w:name w:val="Heading 2"/>
    <w:basedOn w:val="Normal"/>
    <w:qFormat/>
    <w:pPr>
      <w:keepNext w:val="true"/>
      <w:keepLines/>
      <w:spacing w:before="200" w:after="0"/>
      <w:outlineLvl w:val="1"/>
    </w:pPr>
    <w:rPr>
      <w:rFonts w:ascii="Cambria" w:hAnsi="Cambria" w:eastAsia="Calibri" w:cs="Times New Roman"/>
      <w:b/>
      <w:bCs/>
      <w:color w:val="4F81BD"/>
      <w:sz w:val="26"/>
      <w:szCs w:val="26"/>
    </w:rPr>
  </w:style>
  <w:style w:type="paragraph" w:styleId="Nagwek3">
    <w:name w:val="Heading 3"/>
    <w:basedOn w:val="Normal"/>
    <w:qFormat/>
    <w:pPr>
      <w:keepNext w:val="true"/>
      <w:keepLines/>
      <w:spacing w:before="200" w:after="0"/>
      <w:outlineLvl w:val="2"/>
    </w:pPr>
    <w:rPr>
      <w:rFonts w:ascii="Cambria" w:hAnsi="Cambria" w:eastAsia="Calibri" w:cs="Times New Roman"/>
      <w:b/>
      <w:bCs/>
      <w:color w:val="4F81BD"/>
    </w:rPr>
  </w:style>
  <w:style w:type="character" w:styleId="DefaultParagraphFont">
    <w:name w:val="Default Paragraph Font"/>
    <w:qFormat/>
    <w:rPr/>
  </w:style>
  <w:style w:type="character" w:styleId="Czeinternetowe">
    <w:name w:val="Łącze internetowe"/>
    <w:basedOn w:val="DefaultParagraphFont"/>
    <w:rPr>
      <w:color w:val="0000FF"/>
      <w:u w:val="single"/>
    </w:rPr>
  </w:style>
  <w:style w:type="character" w:styleId="TekstpodstawowyZnak">
    <w:name w:val="Tekst podstawowy Znak"/>
    <w:basedOn w:val="DefaultParagraphFont"/>
    <w:qFormat/>
    <w:rPr>
      <w:rFonts w:ascii="Times New Roman" w:hAnsi="Times New Roman" w:eastAsia="Times New Roman"/>
      <w:b/>
      <w:sz w:val="22"/>
    </w:rPr>
  </w:style>
  <w:style w:type="character" w:styleId="Strong">
    <w:name w:val="Strong"/>
    <w:basedOn w:val="DefaultParagraphFont"/>
    <w:qFormat/>
    <w:rPr>
      <w:b/>
      <w:bCs/>
    </w:rPr>
  </w:style>
  <w:style w:type="character" w:styleId="TekstdymkaZnak">
    <w:name w:val="Tekst dymka Znak"/>
    <w:basedOn w:val="DefaultParagraphFont"/>
    <w:qFormat/>
    <w:rPr>
      <w:rFonts w:ascii="Tahoma" w:hAnsi="Tahoma" w:eastAsia="Times New Roman" w:cs="Tahoma"/>
      <w:sz w:val="16"/>
      <w:szCs w:val="16"/>
    </w:rPr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TekstkomentarzaZnak">
    <w:name w:val="Tekst komentarza Znak"/>
    <w:basedOn w:val="DefaultParagraphFont"/>
    <w:qFormat/>
    <w:rPr>
      <w:rFonts w:ascii="Times New Roman" w:hAnsi="Times New Roman" w:eastAsia="Times New Roman"/>
    </w:rPr>
  </w:style>
  <w:style w:type="character" w:styleId="TematkomentarzaZnak">
    <w:name w:val="Temat komentarza Znak"/>
    <w:basedOn w:val="TekstkomentarzaZnak"/>
    <w:qFormat/>
    <w:rPr>
      <w:rFonts w:ascii="Times New Roman" w:hAnsi="Times New Roman" w:eastAsia="Times New Roman"/>
      <w:b/>
      <w:bCs/>
    </w:rPr>
  </w:style>
  <w:style w:type="character" w:styleId="Tekstpodstawowy3Znak">
    <w:name w:val="Tekst podstawowy 3 Znak"/>
    <w:basedOn w:val="DefaultParagraphFont"/>
    <w:qFormat/>
    <w:rPr>
      <w:rFonts w:ascii="Arial" w:hAnsi="Arial" w:eastAsia="Times New Roman"/>
      <w:sz w:val="16"/>
      <w:szCs w:val="16"/>
    </w:rPr>
  </w:style>
  <w:style w:type="character" w:styleId="TekstprzypisukocowegoZnak">
    <w:name w:val="Tekst przypisu końcowego Znak"/>
    <w:basedOn w:val="DefaultParagraphFont"/>
    <w:qFormat/>
    <w:rPr>
      <w:rFonts w:ascii="Times New Roman" w:hAnsi="Times New Roman" w:eastAsia="Times New Roman"/>
    </w:rPr>
  </w:style>
  <w:style w:type="character" w:styleId="Zakotwiczenieprzypisukocowego">
    <w:name w:val="Zakotwiczenie przypisu końcowego"/>
    <w:rPr>
      <w:vertAlign w:val="superscript"/>
    </w:rPr>
  </w:style>
  <w:style w:type="character" w:styleId="EndnoteCharacters">
    <w:name w:val="Endnote Characters"/>
    <w:basedOn w:val="DefaultParagraphFont"/>
    <w:qFormat/>
    <w:rPr>
      <w:vertAlign w:val="superscript"/>
    </w:rPr>
  </w:style>
  <w:style w:type="character" w:styleId="St">
    <w:name w:val="st"/>
    <w:basedOn w:val="DefaultParagraphFont"/>
    <w:qFormat/>
    <w:rPr/>
  </w:style>
  <w:style w:type="character" w:styleId="Wyrnienie">
    <w:name w:val="Wyróżnienie"/>
    <w:basedOn w:val="DefaultParagraphFont"/>
    <w:qFormat/>
    <w:rPr>
      <w:i/>
      <w:iCs/>
    </w:rPr>
  </w:style>
  <w:style w:type="character" w:styleId="Nagwek3Znak">
    <w:name w:val="Nagłówek 3 Znak"/>
    <w:basedOn w:val="DefaultParagraphFont"/>
    <w:qFormat/>
    <w:rPr>
      <w:rFonts w:ascii="Cambria" w:hAnsi="Cambria" w:eastAsia="Calibri" w:cs="Times New Roman"/>
      <w:b/>
      <w:bCs/>
      <w:color w:val="4F81BD"/>
      <w:sz w:val="24"/>
      <w:szCs w:val="24"/>
    </w:rPr>
  </w:style>
  <w:style w:type="character" w:styleId="Teksttreci2">
    <w:name w:val="Tekst treści (2)_"/>
    <w:qFormat/>
    <w:rPr>
      <w:rFonts w:ascii="Times New Roman" w:hAnsi="Times New Roman" w:eastAsia="Times New Roman"/>
      <w:highlight w:val="white"/>
    </w:rPr>
  </w:style>
  <w:style w:type="character" w:styleId="Teksttreci27pt">
    <w:name w:val="Tekst treści (2) + 7 pt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4"/>
      <w:szCs w:val="14"/>
      <w:u w:val="none"/>
      <w:lang w:val="pl-PL" w:eastAsia="pl-PL" w:bidi="pl-PL"/>
    </w:rPr>
  </w:style>
  <w:style w:type="character" w:styleId="Color2">
    <w:name w:val="color_2"/>
    <w:basedOn w:val="DefaultParagraphFont"/>
    <w:qFormat/>
    <w:rPr/>
  </w:style>
  <w:style w:type="character" w:styleId="HTMLwstpniesformatowanyZnak">
    <w:name w:val="HTML - wstępnie sformatowany Znak"/>
    <w:basedOn w:val="DefaultParagraphFont"/>
    <w:qFormat/>
    <w:rPr>
      <w:rFonts w:ascii="Courier New" w:hAnsi="Courier New" w:eastAsia="Times New Roman"/>
    </w:rPr>
  </w:style>
  <w:style w:type="character" w:styleId="Description">
    <w:name w:val="description"/>
    <w:basedOn w:val="DefaultParagraphFont"/>
    <w:qFormat/>
    <w:rPr/>
  </w:style>
  <w:style w:type="character" w:styleId="Ngbinding">
    <w:name w:val="ng-binding"/>
    <w:basedOn w:val="DefaultParagraphFont"/>
    <w:qFormat/>
    <w:rPr/>
  </w:style>
  <w:style w:type="character" w:styleId="Nagwek2Znak">
    <w:name w:val="Nagłówek 2 Znak"/>
    <w:basedOn w:val="DefaultParagraphFont"/>
    <w:qFormat/>
    <w:rPr>
      <w:rFonts w:ascii="Cambria" w:hAnsi="Cambria" w:eastAsia="Calibri" w:cs="Times New Roman"/>
      <w:b/>
      <w:bCs/>
      <w:color w:val="4F81BD"/>
      <w:sz w:val="26"/>
      <w:szCs w:val="26"/>
    </w:rPr>
  </w:style>
  <w:style w:type="character" w:styleId="NagwekZnak">
    <w:name w:val="Nagłówek Znak"/>
    <w:basedOn w:val="DefaultParagraphFont"/>
    <w:qFormat/>
    <w:rPr>
      <w:rFonts w:ascii="Times New Roman" w:hAnsi="Times New Roman" w:eastAsia="Times New Roman"/>
      <w:sz w:val="24"/>
      <w:szCs w:val="24"/>
    </w:rPr>
  </w:style>
  <w:style w:type="character" w:styleId="StopkaZnak">
    <w:name w:val="Stopka Znak"/>
    <w:basedOn w:val="DefaultParagraphFont"/>
    <w:qFormat/>
    <w:rPr>
      <w:rFonts w:ascii="Times New Roman" w:hAnsi="Times New Roman" w:eastAsia="Times New Roman"/>
      <w:sz w:val="24"/>
      <w:szCs w:val="24"/>
    </w:rPr>
  </w:style>
  <w:style w:type="character" w:styleId="Domylnaczcionkaakapitu">
    <w:name w:val="Domyślna czcionka akapitu"/>
    <w:qFormat/>
    <w:rPr/>
  </w:style>
  <w:style w:type="character" w:styleId="WWCharLFO18LVL1">
    <w:name w:val="WW_CharLFO18LVL1"/>
    <w:qFormat/>
    <w:rPr>
      <w:rFonts w:ascii="StarSymbol" w:hAnsi="StarSymbol" w:eastAsia="OpenSymbol" w:cs="OpenSymbol"/>
    </w:rPr>
  </w:style>
  <w:style w:type="character" w:styleId="WWCharLFO18LVL2">
    <w:name w:val="WW_CharLFO18LVL2"/>
    <w:qFormat/>
    <w:rPr>
      <w:rFonts w:ascii="StarSymbol" w:hAnsi="StarSymbol" w:eastAsia="OpenSymbol" w:cs="OpenSymbol"/>
    </w:rPr>
  </w:style>
  <w:style w:type="character" w:styleId="WWCharLFO18LVL3">
    <w:name w:val="WW_CharLFO18LVL3"/>
    <w:qFormat/>
    <w:rPr>
      <w:rFonts w:ascii="StarSymbol" w:hAnsi="StarSymbol" w:eastAsia="OpenSymbol" w:cs="OpenSymbol"/>
    </w:rPr>
  </w:style>
  <w:style w:type="character" w:styleId="WWCharLFO18LVL4">
    <w:name w:val="WW_CharLFO18LVL4"/>
    <w:qFormat/>
    <w:rPr>
      <w:rFonts w:ascii="StarSymbol" w:hAnsi="StarSymbol" w:eastAsia="OpenSymbol" w:cs="OpenSymbol"/>
    </w:rPr>
  </w:style>
  <w:style w:type="character" w:styleId="WWCharLFO18LVL5">
    <w:name w:val="WW_CharLFO18LVL5"/>
    <w:qFormat/>
    <w:rPr>
      <w:rFonts w:ascii="StarSymbol" w:hAnsi="StarSymbol" w:eastAsia="OpenSymbol" w:cs="OpenSymbol"/>
    </w:rPr>
  </w:style>
  <w:style w:type="character" w:styleId="WWCharLFO18LVL6">
    <w:name w:val="WW_CharLFO18LVL6"/>
    <w:qFormat/>
    <w:rPr>
      <w:rFonts w:ascii="StarSymbol" w:hAnsi="StarSymbol" w:eastAsia="OpenSymbol" w:cs="OpenSymbol"/>
    </w:rPr>
  </w:style>
  <w:style w:type="character" w:styleId="WWCharLFO18LVL7">
    <w:name w:val="WW_CharLFO18LVL7"/>
    <w:qFormat/>
    <w:rPr>
      <w:rFonts w:ascii="StarSymbol" w:hAnsi="StarSymbol" w:eastAsia="OpenSymbol" w:cs="OpenSymbol"/>
    </w:rPr>
  </w:style>
  <w:style w:type="character" w:styleId="WWCharLFO18LVL8">
    <w:name w:val="WW_CharLFO18LVL8"/>
    <w:qFormat/>
    <w:rPr>
      <w:rFonts w:ascii="StarSymbol" w:hAnsi="StarSymbol" w:eastAsia="OpenSymbol" w:cs="OpenSymbol"/>
    </w:rPr>
  </w:style>
  <w:style w:type="character" w:styleId="WWCharLFO18LVL9">
    <w:name w:val="WW_CharLFO18LVL9"/>
    <w:qFormat/>
    <w:rPr>
      <w:rFonts w:ascii="StarSymbol" w:hAnsi="StarSymbol" w:eastAsia="OpenSymbol" w:cs="OpenSymbol"/>
    </w:rPr>
  </w:style>
  <w:style w:type="character" w:styleId="WWCharLFO17LVL3">
    <w:name w:val="WW_CharLFO17LVL3"/>
    <w:qFormat/>
    <w:rPr>
      <w:rFonts w:ascii="StarSymbol" w:hAnsi="StarSymbol"/>
    </w:rPr>
  </w:style>
  <w:style w:type="character" w:styleId="WWCharLFO17LVL4">
    <w:name w:val="WW_CharLFO17LVL4"/>
    <w:qFormat/>
    <w:rPr>
      <w:rFonts w:ascii="StarSymbol" w:hAnsi="StarSymbol"/>
    </w:rPr>
  </w:style>
  <w:style w:type="character" w:styleId="WWCharLFO17LVL5">
    <w:name w:val="WW_CharLFO17LVL5"/>
    <w:qFormat/>
    <w:rPr>
      <w:rFonts w:ascii="StarSymbol" w:hAnsi="StarSymbol"/>
    </w:rPr>
  </w:style>
  <w:style w:type="character" w:styleId="WWCharLFO17LVL6">
    <w:name w:val="WW_CharLFO17LVL6"/>
    <w:qFormat/>
    <w:rPr>
      <w:rFonts w:ascii="StarSymbol" w:hAnsi="StarSymbol"/>
    </w:rPr>
  </w:style>
  <w:style w:type="character" w:styleId="WWCharLFO17LVL7">
    <w:name w:val="WW_CharLFO17LVL7"/>
    <w:qFormat/>
    <w:rPr>
      <w:rFonts w:ascii="StarSymbol" w:hAnsi="StarSymbol"/>
    </w:rPr>
  </w:style>
  <w:style w:type="character" w:styleId="WWCharLFO17LVL8">
    <w:name w:val="WW_CharLFO17LVL8"/>
    <w:qFormat/>
    <w:rPr>
      <w:rFonts w:ascii="StarSymbol" w:hAnsi="StarSymbol"/>
    </w:rPr>
  </w:style>
  <w:style w:type="character" w:styleId="WWCharLFO17LVL9">
    <w:name w:val="WW_CharLFO17LVL9"/>
    <w:qFormat/>
    <w:rPr>
      <w:rFonts w:ascii="StarSymbol" w:hAnsi="StarSymbol"/>
    </w:rPr>
  </w:style>
  <w:style w:type="character" w:styleId="Znakinumeracji">
    <w:name w:val="Znaki numeracji"/>
    <w:qFormat/>
    <w:rPr>
      <w:b w:val="false"/>
      <w:bCs w:val="false"/>
    </w:rPr>
  </w:style>
  <w:style w:type="character" w:styleId="WWCharLFO19LVL3">
    <w:name w:val="WW_CharLFO19LVL3"/>
    <w:qFormat/>
    <w:rPr>
      <w:rFonts w:ascii="StarSymbol" w:hAnsi="StarSymbol"/>
    </w:rPr>
  </w:style>
  <w:style w:type="character" w:styleId="WWCharLFO19LVL4">
    <w:name w:val="WW_CharLFO19LVL4"/>
    <w:qFormat/>
    <w:rPr>
      <w:rFonts w:ascii="StarSymbol" w:hAnsi="StarSymbol"/>
    </w:rPr>
  </w:style>
  <w:style w:type="character" w:styleId="WWCharLFO19LVL5">
    <w:name w:val="WW_CharLFO19LVL5"/>
    <w:qFormat/>
    <w:rPr>
      <w:rFonts w:ascii="StarSymbol" w:hAnsi="StarSymbol"/>
    </w:rPr>
  </w:style>
  <w:style w:type="character" w:styleId="WWCharLFO19LVL6">
    <w:name w:val="WW_CharLFO19LVL6"/>
    <w:qFormat/>
    <w:rPr>
      <w:rFonts w:ascii="StarSymbol" w:hAnsi="StarSymbol"/>
    </w:rPr>
  </w:style>
  <w:style w:type="character" w:styleId="WWCharLFO19LVL7">
    <w:name w:val="WW_CharLFO19LVL7"/>
    <w:qFormat/>
    <w:rPr>
      <w:rFonts w:ascii="StarSymbol" w:hAnsi="StarSymbol"/>
    </w:rPr>
  </w:style>
  <w:style w:type="character" w:styleId="WWCharLFO19LVL8">
    <w:name w:val="WW_CharLFO19LVL8"/>
    <w:qFormat/>
    <w:rPr>
      <w:rFonts w:ascii="StarSymbol" w:hAnsi="StarSymbol"/>
    </w:rPr>
  </w:style>
  <w:style w:type="character" w:styleId="WWCharLFO19LVL9">
    <w:name w:val="WW_CharLFO19LVL9"/>
    <w:qFormat/>
    <w:rPr>
      <w:rFonts w:ascii="StarSymbol" w:hAnsi="StarSymbol"/>
    </w:rPr>
  </w:style>
  <w:style w:type="character" w:styleId="WWCharLFO21LVL3">
    <w:name w:val="WW_CharLFO21LVL3"/>
    <w:qFormat/>
    <w:rPr>
      <w:rFonts w:ascii="StarSymbol" w:hAnsi="StarSymbol"/>
    </w:rPr>
  </w:style>
  <w:style w:type="character" w:styleId="WWCharLFO21LVL4">
    <w:name w:val="WW_CharLFO21LVL4"/>
    <w:qFormat/>
    <w:rPr>
      <w:rFonts w:ascii="StarSymbol" w:hAnsi="StarSymbol"/>
    </w:rPr>
  </w:style>
  <w:style w:type="character" w:styleId="WWCharLFO21LVL5">
    <w:name w:val="WW_CharLFO21LVL5"/>
    <w:qFormat/>
    <w:rPr>
      <w:rFonts w:ascii="StarSymbol" w:hAnsi="StarSymbol"/>
    </w:rPr>
  </w:style>
  <w:style w:type="character" w:styleId="WWCharLFO21LVL6">
    <w:name w:val="WW_CharLFO21LVL6"/>
    <w:qFormat/>
    <w:rPr>
      <w:rFonts w:ascii="StarSymbol" w:hAnsi="StarSymbol"/>
    </w:rPr>
  </w:style>
  <w:style w:type="character" w:styleId="WWCharLFO21LVL7">
    <w:name w:val="WW_CharLFO21LVL7"/>
    <w:qFormat/>
    <w:rPr>
      <w:rFonts w:ascii="StarSymbol" w:hAnsi="StarSymbol"/>
    </w:rPr>
  </w:style>
  <w:style w:type="character" w:styleId="WWCharLFO21LVL8">
    <w:name w:val="WW_CharLFO21LVL8"/>
    <w:qFormat/>
    <w:rPr>
      <w:rFonts w:ascii="StarSymbol" w:hAnsi="StarSymbol"/>
    </w:rPr>
  </w:style>
  <w:style w:type="character" w:styleId="WWCharLFO21LVL9">
    <w:name w:val="WW_CharLFO21LVL9"/>
    <w:qFormat/>
    <w:rPr>
      <w:rFonts w:ascii="StarSymbol" w:hAnsi="StarSymbol"/>
    </w:rPr>
  </w:style>
  <w:style w:type="character" w:styleId="WWCharLFO20LVL3">
    <w:name w:val="WW_CharLFO20LVL3"/>
    <w:qFormat/>
    <w:rPr>
      <w:rFonts w:ascii="StarSymbol" w:hAnsi="StarSymbol"/>
    </w:rPr>
  </w:style>
  <w:style w:type="character" w:styleId="WWCharLFO20LVL4">
    <w:name w:val="WW_CharLFO20LVL4"/>
    <w:qFormat/>
    <w:rPr>
      <w:rFonts w:ascii="StarSymbol" w:hAnsi="StarSymbol"/>
    </w:rPr>
  </w:style>
  <w:style w:type="character" w:styleId="WWCharLFO20LVL5">
    <w:name w:val="WW_CharLFO20LVL5"/>
    <w:qFormat/>
    <w:rPr>
      <w:rFonts w:ascii="StarSymbol" w:hAnsi="StarSymbol"/>
    </w:rPr>
  </w:style>
  <w:style w:type="character" w:styleId="WWCharLFO20LVL6">
    <w:name w:val="WW_CharLFO20LVL6"/>
    <w:qFormat/>
    <w:rPr>
      <w:rFonts w:ascii="StarSymbol" w:hAnsi="StarSymbol"/>
    </w:rPr>
  </w:style>
  <w:style w:type="character" w:styleId="WWCharLFO20LVL7">
    <w:name w:val="WW_CharLFO20LVL7"/>
    <w:qFormat/>
    <w:rPr>
      <w:rFonts w:ascii="StarSymbol" w:hAnsi="StarSymbol"/>
    </w:rPr>
  </w:style>
  <w:style w:type="character" w:styleId="WWCharLFO20LVL8">
    <w:name w:val="WW_CharLFO20LVL8"/>
    <w:qFormat/>
    <w:rPr>
      <w:rFonts w:ascii="StarSymbol" w:hAnsi="StarSymbol"/>
    </w:rPr>
  </w:style>
  <w:style w:type="character" w:styleId="WWCharLFO20LVL9">
    <w:name w:val="WW_CharLFO20LVL9"/>
    <w:qFormat/>
    <w:rPr>
      <w:rFonts w:ascii="StarSymbol" w:hAnsi="StarSymbol"/>
    </w:rPr>
  </w:style>
  <w:style w:type="character" w:styleId="WW8Num5z0">
    <w:name w:val="WW8Num5z0"/>
    <w:qFormat/>
    <w:rPr>
      <w:rFonts w:ascii="Wingdings" w:hAnsi="Wingdings" w:eastAsia="Times New Roman" w:cs="Mangal"/>
      <w:color w:val="000000"/>
      <w:sz w:val="21"/>
      <w:szCs w:val="21"/>
      <w:lang w:eastAsia="pl-PL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5z3">
    <w:name w:val="WW8Num5z3"/>
    <w:qFormat/>
    <w:rPr>
      <w:rFonts w:ascii="Symbol" w:hAnsi="Symbol" w:cs="Symbol"/>
    </w:rPr>
  </w:style>
  <w:style w:type="character" w:styleId="Hipercze">
    <w:name w:val="Hiperłącze"/>
    <w:qFormat/>
    <w:rPr>
      <w:color w:val="0000FF"/>
      <w:u w:val="single"/>
    </w:rPr>
  </w:style>
  <w:style w:type="character" w:styleId="WW8Num4z0">
    <w:name w:val="WW8Num4z0"/>
    <w:qFormat/>
    <w:rPr>
      <w:rFonts w:ascii="Times New Roman" w:hAnsi="Times New Roman" w:cs="Mangal"/>
      <w:sz w:val="21"/>
      <w:szCs w:val="21"/>
      <w:lang w:eastAsia="pl-PL" w:bidi="ar-SA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WW8Num4z3">
    <w:name w:val="WW8Num4z3"/>
    <w:qFormat/>
    <w:rPr>
      <w:rFonts w:ascii="Symbol" w:hAnsi="Symbol" w:cs="Symbol"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DejaVu Sans" w:cs="FreeSans"/>
      <w:sz w:val="28"/>
      <w:szCs w:val="28"/>
    </w:rPr>
  </w:style>
  <w:style w:type="paragraph" w:styleId="Tretekstu">
    <w:name w:val="Body Text"/>
    <w:basedOn w:val="Normal"/>
    <w:pPr>
      <w:overflowPunct w:val="true"/>
      <w:jc w:val="both"/>
    </w:pPr>
    <w:rPr>
      <w:b/>
      <w:sz w:val="22"/>
      <w:szCs w:val="20"/>
    </w:rPr>
  </w:style>
  <w:style w:type="paragraph" w:styleId="Lista">
    <w:name w:val="List"/>
    <w:basedOn w:val="Tretekstu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FreeSans"/>
    </w:rPr>
  </w:style>
  <w:style w:type="paragraph" w:styleId="Pkt">
    <w:name w:val="pkt"/>
    <w:basedOn w:val="Normal"/>
    <w:qFormat/>
    <w:pPr>
      <w:spacing w:before="60" w:after="60"/>
      <w:ind w:left="851" w:right="0" w:hanging="295"/>
      <w:jc w:val="both"/>
    </w:pPr>
    <w:rPr/>
  </w:style>
  <w:style w:type="paragraph" w:styleId="ListParagraph">
    <w:name w:val="List Paragraph"/>
    <w:basedOn w:val="Normal"/>
    <w:qFormat/>
    <w:pPr>
      <w:ind w:left="426" w:right="0" w:hanging="0"/>
      <w:jc w:val="both"/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qFormat/>
    <w:pPr/>
    <w:rPr>
      <w:sz w:val="20"/>
      <w:szCs w:val="20"/>
    </w:rPr>
  </w:style>
  <w:style w:type="paragraph" w:styleId="Annotationsubject">
    <w:name w:val="annotation subject"/>
    <w:basedOn w:val="Annotationtext"/>
    <w:qFormat/>
    <w:pPr/>
    <w:rPr>
      <w:b/>
      <w:bCs/>
    </w:rPr>
  </w:style>
  <w:style w:type="paragraph" w:styleId="Revision">
    <w:name w:val="Revision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4"/>
      <w:szCs w:val="24"/>
      <w:lang w:val="pl-PL" w:eastAsia="pl-PL" w:bidi="ar-SA"/>
    </w:rPr>
  </w:style>
  <w:style w:type="paragraph" w:styleId="NoSpacing">
    <w:name w:val="No Spacing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4"/>
      <w:szCs w:val="24"/>
      <w:lang w:val="pl-PL" w:eastAsia="pl-PL" w:bidi="ar-SA"/>
    </w:rPr>
  </w:style>
  <w:style w:type="paragraph" w:styleId="BodyText3">
    <w:name w:val="Body Text 3"/>
    <w:basedOn w:val="Normal"/>
    <w:qFormat/>
    <w:pPr>
      <w:spacing w:before="0" w:after="120"/>
    </w:pPr>
    <w:rPr>
      <w:rFonts w:ascii="Arial" w:hAnsi="Arial"/>
      <w:sz w:val="16"/>
      <w:szCs w:val="16"/>
    </w:rPr>
  </w:style>
  <w:style w:type="paragraph" w:styleId="Default">
    <w:name w:val="Default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Arial" w:hAnsi="Arial" w:eastAsia="Calibri" w:cs="Arial"/>
      <w:color w:val="000000"/>
      <w:kern w:val="0"/>
      <w:sz w:val="24"/>
      <w:szCs w:val="24"/>
      <w:lang w:val="pl-PL" w:eastAsia="pl-PL" w:bidi="ar-SA"/>
    </w:rPr>
  </w:style>
  <w:style w:type="paragraph" w:styleId="Przypiskocowy">
    <w:name w:val="Endnote Text"/>
    <w:basedOn w:val="Normal"/>
    <w:qFormat/>
    <w:pPr/>
    <w:rPr>
      <w:sz w:val="20"/>
      <w:szCs w:val="20"/>
    </w:rPr>
  </w:style>
  <w:style w:type="paragraph" w:styleId="Nagwek1">
    <w:name w:val="Nagłówek1"/>
    <w:basedOn w:val="Normal"/>
    <w:qFormat/>
    <w:pPr>
      <w:suppressAutoHyphens w:val="true"/>
      <w:jc w:val="center"/>
    </w:pPr>
    <w:rPr>
      <w:rFonts w:ascii="Arial" w:hAnsi="Arial" w:cs="Arial"/>
      <w:b/>
      <w:sz w:val="20"/>
      <w:lang w:eastAsia="zh-CN"/>
    </w:rPr>
  </w:style>
  <w:style w:type="paragraph" w:styleId="Akapitzlist1">
    <w:name w:val="Akapit z listą1"/>
    <w:basedOn w:val="Normal"/>
    <w:qFormat/>
    <w:pPr>
      <w:suppressAutoHyphens w:val="true"/>
      <w:ind w:left="708" w:right="0" w:hanging="0"/>
    </w:pPr>
    <w:rPr>
      <w:rFonts w:eastAsia="Calibri"/>
      <w:lang w:eastAsia="zh-CN"/>
    </w:rPr>
  </w:style>
  <w:style w:type="paragraph" w:styleId="Teksttreci21">
    <w:name w:val="Tekst treści (2)"/>
    <w:basedOn w:val="Normal"/>
    <w:qFormat/>
    <w:pPr>
      <w:widowControl w:val="false"/>
      <w:shd w:val="clear" w:fill="FFFFFF"/>
      <w:spacing w:lineRule="exact" w:line="230" w:before="360" w:after="360"/>
      <w:ind w:left="0" w:right="0" w:hanging="400"/>
      <w:jc w:val="both"/>
    </w:pPr>
    <w:rPr>
      <w:sz w:val="20"/>
      <w:szCs w:val="20"/>
    </w:rPr>
  </w:style>
  <w:style w:type="paragraph" w:styleId="Font8">
    <w:name w:val="font_8"/>
    <w:basedOn w:val="Normal"/>
    <w:qFormat/>
    <w:pPr>
      <w:spacing w:before="280" w:after="280"/>
    </w:pPr>
    <w:rPr/>
  </w:style>
  <w:style w:type="paragraph" w:styleId="HTMLPreformatted">
    <w:name w:val="HTML Preformatted"/>
    <w:basedOn w:val="Normal"/>
    <w:qFormat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/>
      <w:sz w:val="20"/>
      <w:szCs w:val="20"/>
    </w:rPr>
  </w:style>
  <w:style w:type="paragraph" w:styleId="Zawartotabeli">
    <w:name w:val="Zawartość tabeli"/>
    <w:basedOn w:val="Normal"/>
    <w:qFormat/>
    <w:pPr>
      <w:widowControl w:val="false"/>
      <w:suppressLineNumbers/>
      <w:suppressAutoHyphens w:val="true"/>
    </w:pPr>
    <w:rPr>
      <w:rFonts w:eastAsia="Lucida Sans Unicode" w:cs="Tahoma"/>
      <w:lang w:eastAsia="hi-IN" w:bidi="hi-IN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Stopka">
    <w:name w:val="Footer"/>
    <w:basedOn w:val="Normal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Zawartoramki">
    <w:name w:val="Zawartość ramki"/>
    <w:basedOn w:val="Normal"/>
    <w:qFormat/>
    <w:pPr/>
    <w:rPr/>
  </w:style>
  <w:style w:type="paragraph" w:styleId="Normalny">
    <w:name w:val="Normalny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Liberation Serif;Times New Roman" w:hAnsi="Liberation Serif;Times New Roman" w:eastAsia="Lucida Sans Unicode" w:cs="Liberation Serif;Times New Roman"/>
      <w:color w:val="00000A"/>
      <w:kern w:val="0"/>
      <w:sz w:val="24"/>
      <w:szCs w:val="24"/>
      <w:lang w:val="pl-PL" w:eastAsia="zh-CN" w:bidi="hi-IN"/>
    </w:rPr>
  </w:style>
  <w:style w:type="paragraph" w:styleId="Akapitzlist">
    <w:name w:val="Akapit z listą"/>
    <w:basedOn w:val="Normalny"/>
    <w:qFormat/>
    <w:pPr>
      <w:suppressAutoHyphens w:val="true"/>
      <w:spacing w:before="0" w:after="160"/>
      <w:ind w:left="720" w:right="0" w:hanging="0"/>
    </w:pPr>
    <w:rPr/>
  </w:style>
  <w:style w:type="paragraph" w:styleId="Tekstwstpniesformatowany">
    <w:name w:val="Tekst wstępnie sformatowany"/>
    <w:basedOn w:val="Normalny"/>
    <w:qFormat/>
    <w:pPr>
      <w:widowControl/>
      <w:suppressAutoHyphens w:val="true"/>
      <w:spacing w:lineRule="auto" w:line="276"/>
      <w:jc w:val="both"/>
      <w:textAlignment w:val="auto"/>
    </w:pPr>
    <w:rPr>
      <w:rFonts w:ascii="Liberation Mono;Courier New" w:hAnsi="Liberation Mono;Courier New" w:eastAsia="Courier New" w:cs="Liberation Mono;Courier New"/>
      <w:sz w:val="20"/>
      <w:szCs w:val="20"/>
      <w:lang w:bidi="ar-SA"/>
    </w:rPr>
  </w:style>
  <w:style w:type="paragraph" w:styleId="Nagwektabeli">
    <w:name w:val="Nagłówek tabeli"/>
    <w:basedOn w:val="Zawartotabeli"/>
    <w:qFormat/>
    <w:pPr/>
    <w:rPr/>
  </w:style>
  <w:style w:type="numbering" w:styleId="NoList">
    <w:name w:val="No List"/>
    <w:qFormat/>
  </w:style>
  <w:style w:type="numbering" w:styleId="WW8Num5">
    <w:name w:val="WW8Num5"/>
    <w:qFormat/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mops.tychy.pl/" TargetMode="External"/><Relationship Id="rId3" Type="http://schemas.openxmlformats.org/officeDocument/2006/relationships/hyperlink" Target="mailto:iod@mops.tychy.pl" TargetMode="Externa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3402</TotalTime>
  <Application>LibreOffice/7.0.4.2$Linux_X86_64 LibreOffice_project/00$Build-2</Application>
  <AppVersion>15.0000</AppVersion>
  <Pages>8</Pages>
  <Words>3579</Words>
  <Characters>23171</Characters>
  <CharactersWithSpaces>26584</CharactersWithSpaces>
  <Paragraphs>178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2019-07-17T12:49:00Z</dcterms:created>
  <dc:creator>dmajcher</dc:creator>
  <dc:description/>
  <dc:language>pl-PL</dc:language>
  <cp:lastModifiedBy/>
  <cp:lastPrinted>2023-02-02T08:15:15Z</cp:lastPrinted>
  <dcterms:modified xsi:type="dcterms:W3CDTF">2023-02-06T14:47:21Z</dcterms:modified>
  <cp:revision>264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