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Działając na podstawie art. 11 i art. 13 -15 ustawy z dnia 24 kwietnia 2003 r. o działalności pożytku publicznego i o wolontariacie (</w:t>
      </w:r>
      <w:r>
        <w:rPr>
          <w:rFonts w:cs="Arial" w:ascii="Arial" w:hAnsi="Arial"/>
          <w:b w:val="false"/>
          <w:sz w:val="20"/>
          <w:szCs w:val="20"/>
        </w:rPr>
        <w:t>Dz.U. z 2022 r., poz. 1327 ze zm.)</w:t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PREZYDENT MIASTA TYCHY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OGŁASZA:</w:t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otwarty konkurs ofert na realizację zadania publicznego w 2023 roku w zakresie: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 ramach Programu Operacyjnego Pomoc Żywnościowa 2014-2020 współfinansowanego z Europejskiego Funduszu Pomocy Najbardziej Potrzebującym w Podprogramie 2021 Plus</w:t>
      </w:r>
    </w:p>
    <w:p>
      <w:pPr>
        <w:pStyle w:val="ListParagraph"/>
        <w:spacing w:before="120" w:after="120"/>
        <w:ind w:left="1788" w:right="0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 formie powierzenia wykonywania zadania publicznego, wraz z udzieleniem dotacji na sfinansowanie jego realizacji.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Celem konkursu jest wyłonienie realizatora zadania publicznego w ww. obszarze</w:t>
      </w:r>
    </w:p>
    <w:p>
      <w:pPr>
        <w:pStyle w:val="Normal"/>
        <w:spacing w:before="12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lear" w:pos="708"/>
          <w:tab w:val="center" w:pos="4536" w:leader="none"/>
          <w:tab w:val="right" w:pos="9072" w:leader="none"/>
        </w:tabs>
        <w:jc w:val="left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Z uwagi na sytuację epidemiczną związaną z rozprzestrzenianiem się wirusa SARS–CoV-2:</w:t>
      </w:r>
    </w:p>
    <w:p>
      <w:pPr>
        <w:pStyle w:val="ListParagraph"/>
        <w:tabs>
          <w:tab w:val="clear" w:pos="708"/>
          <w:tab w:val="center" w:pos="4536" w:leader="none"/>
          <w:tab w:val="right" w:pos="9072" w:leader="none"/>
        </w:tabs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Oferent zobowiązany jest do podjęcia wszelkich działań mających na celu zapewnienie bezpieczeństwa uczestnikom i realizatorom zadania publicznego, zgodnie z wytycznymi wydawanymi przez właściwe organy.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491" w:type="dxa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93" w:type="dxa"/>
        </w:tblCellMar>
      </w:tblPr>
      <w:tblGrid>
        <w:gridCol w:w="9491"/>
      </w:tblGrid>
      <w:tr>
        <w:trPr/>
        <w:tc>
          <w:tcPr>
            <w:tcW w:w="9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BFBFBF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I. RODZAJ ZADANIA</w:t>
            </w:r>
          </w:p>
        </w:tc>
      </w:tr>
    </w:tbl>
    <w:p>
      <w:pPr>
        <w:pStyle w:val="Normal"/>
        <w:numPr>
          <w:ilvl w:val="0"/>
          <w:numId w:val="4"/>
        </w:numPr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Nazwa zadania: </w:t>
      </w:r>
      <w:r>
        <w:rPr>
          <w:rFonts w:cs="Arial" w:ascii="Arial" w:hAnsi="Arial"/>
          <w:b/>
          <w:bCs/>
          <w:color w:val="000000"/>
          <w:sz w:val="20"/>
          <w:szCs w:val="20"/>
        </w:rPr>
        <w:t>Dystrybucja żywności do osób i rodzin najbardziej potrzebujących oraz prowadzenie działań w ramach środków towarzyszących mających na celu wzmacnianie samodzielności i kompetencji w prowadzeniu gospodarstwa domowego.</w:t>
      </w:r>
    </w:p>
    <w:p>
      <w:pPr>
        <w:pStyle w:val="Normal"/>
        <w:numPr>
          <w:ilvl w:val="0"/>
          <w:numId w:val="4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>Opis zadania: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2.1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Dostarczanie artykułów spożywczych do odbiorców końcowych, tj. osób i rodzin znajdujących się w trudnej sytuacji życiowej, dopuszczającej korzystanie z pomocy społecznej z powodów wskazanych w art. 7 ustawy z dnia 12 marca 2004 r. o pomocy społecznej, których dochód nie przekracza odpowiedniego kryterium dochodowego;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2.2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R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ealizacja działań mających na celu wzmacnianie samodzielności i kompetencji</w:t>
        <w:br/>
        <w:t>w zakresie prowadzenia gospodarstwa domowego: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a)</w:t>
      </w: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Fonts w:cs="Arial" w:ascii="Arial" w:hAnsi="Arial"/>
          <w:color w:val="000000"/>
          <w:sz w:val="20"/>
          <w:szCs w:val="20"/>
        </w:rPr>
        <w:t>warsztaty kulinarne dla różnych grup pokoleniowych z udziałem ekspertów kulinarnych, kuchmistrzów, dietetyków, pokazujące różne możliwości przygotowania potraw i wykorzystania artykułów spożywczych,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b) </w:t>
      </w:r>
      <w:r>
        <w:rPr>
          <w:rFonts w:cs="Arial" w:ascii="Arial" w:hAnsi="Arial"/>
          <w:color w:val="000000"/>
          <w:sz w:val="20"/>
          <w:szCs w:val="20"/>
        </w:rPr>
        <w:t>warsztaty dietetyczne i dotyczące zdrowego żywienia,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c) </w:t>
      </w:r>
      <w:r>
        <w:rPr>
          <w:rFonts w:cs="Arial" w:ascii="Arial" w:hAnsi="Arial"/>
          <w:color w:val="000000"/>
          <w:sz w:val="20"/>
          <w:szCs w:val="20"/>
        </w:rPr>
        <w:t>programy edukacyjne mające na celu zapoznanie z zasadami zdrowego odżywiania</w:t>
        <w:br/>
        <w:t>i przeciwdziałania marnowaniu żywności,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d)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warsztaty edukacji ekonomicznej (nauka tworzenia, realizacji i kontroli realizacji  budżetu domowego, ekonomicznego prowadzenia gospodarstwa domowego, z uwzględnieniem wszystkich finansowych i rzeczowych dochodów rodziny, w tym darów żywnościowych).</w:t>
      </w:r>
    </w:p>
    <w:p>
      <w:pPr>
        <w:pStyle w:val="Normal"/>
        <w:spacing w:before="120" w:after="120"/>
        <w:ind w:left="708" w:right="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  <w:u w:val="none"/>
        </w:rPr>
        <w:t xml:space="preserve">2.3 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i/>
          <w:iCs/>
          <w:color w:val="000000"/>
          <w:sz w:val="20"/>
          <w:szCs w:val="20"/>
          <w:u w:val="single"/>
        </w:rPr>
        <w:t>Cel zadania</w:t>
      </w:r>
      <w:r>
        <w:rPr>
          <w:rStyle w:val="Domylnaczcionkaakapitu"/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  <w:t>: Zapewnienie najuboższym mieszkańcom Polski pomocy żywnościowej oraz uczestnictwa  w działaniach w ramach środków towarzyszących w okresie realizacji umowy.</w:t>
      </w:r>
    </w:p>
    <w:p>
      <w:pPr>
        <w:pStyle w:val="Normal"/>
        <w:spacing w:before="120" w:after="120"/>
        <w:ind w:left="708" w:right="0" w:hanging="0"/>
        <w:jc w:val="both"/>
        <w:rPr>
          <w:rStyle w:val="Domylnaczcionkaakapitu"/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0"/>
          <w:szCs w:val="20"/>
          <w:u w:val="none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</w:r>
    </w:p>
    <w:p>
      <w:pPr>
        <w:pStyle w:val="Normal"/>
        <w:numPr>
          <w:ilvl w:val="0"/>
          <w:numId w:val="4"/>
        </w:numPr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Obowiązkowe wskaźniki i rezultaty realizacji zadania</w:t>
      </w:r>
    </w:p>
    <w:p>
      <w:pPr>
        <w:pStyle w:val="ListParagraph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3.1 W zakresie dystrybucji artykułów spożywczych:</w:t>
      </w:r>
    </w:p>
    <w:p>
      <w:pPr>
        <w:pStyle w:val="ListParagraph"/>
        <w:widowControl/>
        <w:numPr>
          <w:ilvl w:val="0"/>
          <w:numId w:val="8"/>
        </w:numPr>
        <w:suppressAutoHyphens w:val="true"/>
        <w:overflowPunct w:val="false"/>
        <w:bidi w:val="0"/>
        <w:spacing w:before="0" w:after="0"/>
        <w:ind w:left="680" w:right="0" w:firstLine="397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>liczba osób objętych pomocą żywnościową  (wymagane 1300 osób).</w:t>
      </w:r>
    </w:p>
    <w:p>
      <w:pPr>
        <w:pStyle w:val="ListParagraph"/>
        <w:ind w:left="1788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ListParagraph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3.2 W zakresie działań w ramach środków towarzyszących wymagane jest:</w:t>
      </w:r>
    </w:p>
    <w:p>
      <w:pPr>
        <w:pStyle w:val="ListParagraph"/>
        <w:numPr>
          <w:ilvl w:val="0"/>
          <w:numId w:val="7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przeprowadzenie co najmniej po jednym warsztacie z wymienionych w pkt 2.2 lit. a, b, d,</w:t>
      </w:r>
    </w:p>
    <w:p>
      <w:pPr>
        <w:pStyle w:val="ListParagraph"/>
        <w:numPr>
          <w:ilvl w:val="0"/>
          <w:numId w:val="7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zrealizowanie co najmniej jednego programu opisanego w pkt 2.2 lit. c.</w:t>
      </w:r>
    </w:p>
    <w:p>
      <w:pPr>
        <w:pStyle w:val="ListParagraph"/>
        <w:numPr>
          <w:ilvl w:val="0"/>
          <w:numId w:val="0"/>
        </w:numPr>
        <w:ind w:left="1854" w:right="0" w:hanging="0"/>
        <w:jc w:val="both"/>
        <w:rPr>
          <w:rFonts w:cs="Arial"/>
          <w:b w:val="false"/>
          <w:b w:val="false"/>
          <w:bCs w:val="false"/>
        </w:rPr>
      </w:pPr>
      <w:r>
        <w:rPr>
          <w:rFonts w:cs="Arial"/>
          <w:b w:val="false"/>
          <w:bCs w:val="false"/>
        </w:rPr>
      </w:r>
    </w:p>
    <w:tbl>
      <w:tblPr>
        <w:tblW w:w="9633" w:type="dxa"/>
        <w:jc w:val="left"/>
        <w:tblInd w:w="-116" w:type="dxa"/>
        <w:tblLayout w:type="fixed"/>
        <w:tblCellMar>
          <w:top w:w="0" w:type="dxa"/>
          <w:left w:w="0" w:type="dxa"/>
          <w:bottom w:w="0" w:type="dxa"/>
          <w:right w:w="93" w:type="dxa"/>
        </w:tblCellMar>
      </w:tblPr>
      <w:tblGrid>
        <w:gridCol w:w="9633"/>
      </w:tblGrid>
      <w:tr>
        <w:trPr/>
        <w:tc>
          <w:tcPr>
            <w:tcW w:w="9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Pkt"/>
              <w:widowControl w:val="false"/>
              <w:spacing w:before="60" w:after="60"/>
              <w:ind w:left="0" w:right="0" w:hanging="0"/>
              <w:jc w:val="both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II. Wysokość środków publicznych przeznaczonych na realizację zadania w roku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u w:val="single"/>
              </w:rPr>
              <w:t>2023</w:t>
            </w: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 oraz wysokości dotacji przekazanej organizacjom pozarządowym i podmiotom, o których mowa w art. 3 ust. 3 ustawy o działalności pożytku publicznego i o wolontariacie na realizację zadania w latach: 2019/2020, 2020/2021, 2022</w:t>
            </w:r>
          </w:p>
        </w:tc>
      </w:tr>
    </w:tbl>
    <w:p>
      <w:pPr>
        <w:pStyle w:val="Normal"/>
        <w:spacing w:before="120" w:after="120"/>
        <w:ind w:left="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575" w:type="dxa"/>
        <w:jc w:val="left"/>
        <w:tblInd w:w="-41" w:type="dxa"/>
        <w:tblLayout w:type="fixed"/>
        <w:tblCellMar>
          <w:top w:w="55" w:type="dxa"/>
          <w:left w:w="0" w:type="dxa"/>
          <w:bottom w:w="55" w:type="dxa"/>
          <w:right w:w="48" w:type="dxa"/>
        </w:tblCellMar>
      </w:tblPr>
      <w:tblGrid>
        <w:gridCol w:w="1300"/>
        <w:gridCol w:w="2982"/>
        <w:gridCol w:w="2972"/>
        <w:gridCol w:w="2320"/>
      </w:tblGrid>
      <w:tr>
        <w:trPr/>
        <w:tc>
          <w:tcPr>
            <w:tcW w:w="1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9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2019/2020 rok</w:t>
            </w:r>
          </w:p>
        </w:tc>
        <w:tc>
          <w:tcPr>
            <w:tcW w:w="2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2020/2021</w:t>
            </w:r>
          </w:p>
        </w:tc>
        <w:tc>
          <w:tcPr>
            <w:tcW w:w="2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2022</w:t>
            </w:r>
          </w:p>
        </w:tc>
      </w:tr>
      <w:tr>
        <w:trPr/>
        <w:tc>
          <w:tcPr>
            <w:tcW w:w="1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spacing w:before="120" w:after="12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ZADANIE</w:t>
            </w:r>
          </w:p>
        </w:tc>
        <w:tc>
          <w:tcPr>
            <w:tcW w:w="827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ind w:left="0" w:right="0" w:hanging="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  <w:u w:val="none"/>
              </w:rPr>
              <w:t>Dystrybucja żywności do osób i rodzin najbardziej potrzebujących oraz prowadzenie działań w ramach środków towarzyszących mających na celu wzmacnianie samodzielności i kompetencji w prowadzeniu gospodarstwa domowego</w:t>
            </w:r>
          </w:p>
        </w:tc>
      </w:tr>
      <w:tr>
        <w:trPr/>
        <w:tc>
          <w:tcPr>
            <w:tcW w:w="1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KWOTA</w:t>
            </w:r>
          </w:p>
        </w:tc>
        <w:tc>
          <w:tcPr>
            <w:tcW w:w="29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34 977,89 zł</w:t>
            </w:r>
          </w:p>
        </w:tc>
        <w:tc>
          <w:tcPr>
            <w:tcW w:w="2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37 583,65 zł</w:t>
            </w:r>
          </w:p>
        </w:tc>
        <w:tc>
          <w:tcPr>
            <w:tcW w:w="2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40 500,00 zł</w:t>
            </w:r>
          </w:p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</w:tr>
    </w:tbl>
    <w:p>
      <w:pPr>
        <w:pStyle w:val="Normal"/>
        <w:widowControl/>
        <w:bidi w:val="0"/>
        <w:spacing w:before="120" w:after="120"/>
        <w:ind w:left="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Przewidywana kwota dotacji na realizację zadania  w 2023 roku wynosi: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41 000,00 zł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Zasady przyznawania dotacji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Postępowanie konkursowe odbywać się będzie z uwzględnieniem zasad określonych w ustawie z dnia 24 kwietnia 2003 roku o działalności pożytku publicznego</w:t>
        <w:br/>
        <w:t>i o wolontariacie,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 konkursie mogą brać udział organizacje pozarządowe oraz podmioty określone w art. 3 ust. 3 ustawy z dnia 24 kwietnia 2003 r. o działalności pożytku publicznego i o wolontariacie, jeżeli ich cele statutowe obejmują prowadzenie działalności w obszarze zgodnym z zakresem na jaki składają ofertę,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Oddziały terenowe nie posiadające osobowości prawnej nie mogą samodzielnie ubiegać się o dotację. W takiej sytuacji mogą złożyć ofertę za pośrednictwem zarządu głównego lub oddziału posiadającego osobowość prawną, natomiast oddział upoważniony do bezpośredniego wykonania zadania powinien być wskazany w ofercie,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 dopuszcza się możliwości wyboru kilku ofert na realizację zadania, złożonych przez jednego lub różnych oferentów,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możliwość zmniejszenia wielkości finansowania oraz wskazania na jakie pozycje kosztorysu ma być ono przeznaczone,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możliwość wskazania na jakie pozycje kosztorysu ma być przeznaczone finansowanie,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zaistnienia sytuacji opisanej w punkcie f i g warunkiem zawarcia umowy będzie dostarczenie zaktualizowanego kosztorysu </w:t>
      </w:r>
      <w:r>
        <w:rPr>
          <w:rFonts w:cs="Arial" w:ascii="Arial" w:hAnsi="Arial"/>
          <w:sz w:val="20"/>
          <w:szCs w:val="20"/>
          <w:shd w:fill="FFFFFF" w:val="clear"/>
        </w:rPr>
        <w:t>(oraz, jeśli konieczne, planu/ harmonogramu)</w:t>
        <w:br/>
        <w:t>i określonych rezultatów,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FFFFFF" w:val="clear"/>
        </w:rPr>
        <w:t>Or</w:t>
      </w:r>
      <w:r>
        <w:rPr>
          <w:rFonts w:cs="Arial" w:ascii="Arial" w:hAnsi="Arial"/>
          <w:sz w:val="20"/>
          <w:szCs w:val="20"/>
        </w:rPr>
        <w:t>ganizator zastrzega sobie prawo do s</w:t>
      </w:r>
      <w:r>
        <w:rPr>
          <w:rFonts w:cs="Arial" w:ascii="Arial" w:hAnsi="Arial"/>
          <w:sz w:val="20"/>
          <w:szCs w:val="20"/>
          <w:shd w:fill="FFFFFF" w:val="clear"/>
        </w:rPr>
        <w:t>fi</w:t>
      </w:r>
      <w:r>
        <w:rPr>
          <w:rFonts w:cs="Arial" w:ascii="Arial" w:hAnsi="Arial"/>
          <w:sz w:val="20"/>
          <w:szCs w:val="20"/>
        </w:rPr>
        <w:t>nansowania tylko jednej oferty z najwyższą liczbą punktów.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Dotację należy przeznaczyć na pokrycie kosztów niezbędnych do realizacji zadania, z wyłączeniem wydatków o charakterze </w:t>
      </w:r>
      <w:r>
        <w:rPr>
          <w:rFonts w:cs="Arial" w:ascii="Arial" w:hAnsi="Arial"/>
          <w:iCs/>
          <w:sz w:val="20"/>
          <w:szCs w:val="20"/>
        </w:rPr>
        <w:t xml:space="preserve">inwestycyjnym </w:t>
      </w:r>
      <w:r>
        <w:rPr>
          <w:rFonts w:cs="Arial" w:ascii="Arial" w:hAnsi="Arial"/>
          <w:sz w:val="20"/>
          <w:szCs w:val="20"/>
        </w:rPr>
        <w:t>oraz odsetek z tytułu niezapłaconych w terminie zobowiązań.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kosztów wynagrodzenia personelu, w tym kosztów osobowych administracji i obsługi  zadania oraz kosztów osobowych merytorycznych, </w:t>
      </w:r>
    </w:p>
    <w:p>
      <w:pPr>
        <w:pStyle w:val="Normal"/>
        <w:numPr>
          <w:ilvl w:val="0"/>
          <w:numId w:val="0"/>
        </w:numPr>
        <w:spacing w:before="60" w:after="60"/>
        <w:ind w:left="142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kwalifikowalne są wszystkie składniki wynagrodzenia, tj. w szczególności: wynagrodzenia netto, składki na ubezpieczenia społeczne i zdrowotne, zaliczka na podatek dochodowy. Płace nie mogą przekraczać wydatków normalnie ponoszonych przez Oferenta, zaś przyjęte stawki nie mogą być wyższe od stawek powszechnie stosowanych na danym rynku,</w:t>
      </w:r>
    </w:p>
    <w:p>
      <w:pPr>
        <w:pStyle w:val="Normal"/>
        <w:numPr>
          <w:ilvl w:val="0"/>
          <w:numId w:val="0"/>
        </w:numPr>
        <w:spacing w:before="60" w:after="60"/>
        <w:ind w:left="142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niekwalifikowalne są nagrody, premie i inne formy bonifikaty rzeczowej lub finansowej dla osób zajmujących się realizacją zadania.</w:t>
      </w:r>
    </w:p>
    <w:p>
      <w:pPr>
        <w:pStyle w:val="Normal"/>
        <w:numPr>
          <w:ilvl w:val="0"/>
          <w:numId w:val="1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Kwota dotacji: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a) wykorzystana niezgodnie z przeznaczeniem,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b) pobrana nienależnie lub w nadmiernej wysokości</w:t>
      </w:r>
    </w:p>
    <w:p>
      <w:pPr>
        <w:pStyle w:val="Normal"/>
        <w:numPr>
          <w:ilvl w:val="0"/>
          <w:numId w:val="0"/>
        </w:numPr>
        <w:spacing w:before="60" w:after="60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  <w:lang w:eastAsia="en-US"/>
        </w:rPr>
        <w:t>- podlega zwrotowi wraz z odsetkami w wysokości określonej jak dla zaległości podatkowych, na zasadach określonych w przepisach o finansach publicznych.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  <w:lang w:eastAsia="en-US"/>
        </w:rPr>
        <w:t>W ramach środków finansowych miasta Tychy niedozwolone jest podwójne finansowanie wydatku czyli zrefundowanie całkowite lub częściowe danego wydatku dwa razy ze środków publicznych, zarówno krajowych, jak i wspólnotowych.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Do realizacji za</w:t>
      </w:r>
      <w:r>
        <w:rPr>
          <w:rFonts w:cs="Arial" w:ascii="Arial" w:hAnsi="Arial"/>
          <w:b w:val="false"/>
          <w:bCs w:val="false"/>
          <w:sz w:val="20"/>
          <w:szCs w:val="20"/>
          <w:shd w:fill="FFFFFF" w:val="clear"/>
        </w:rPr>
        <w:t>dania nie jest wyma</w:t>
      </w:r>
      <w:r>
        <w:rPr>
          <w:rFonts w:cs="Arial" w:ascii="Arial" w:hAnsi="Arial"/>
          <w:b w:val="false"/>
          <w:bCs w:val="false"/>
          <w:sz w:val="20"/>
          <w:szCs w:val="20"/>
        </w:rPr>
        <w:t>gany wkład finansowy organizacji.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>We wzorze oferty Część III – Opis zadania, punkt 5 i 6 Opis zakładanych rezultatów oraz dodatkowe informacje dotyczące rezultatów realizacji zadania publicznego – są obowiązkowe do wypełnienia. Z uwagi na obowiązek rozliczenia się Oferenta z rezultatów zadań, wykazane rezultaty zadań publicznych powinny być mierzalne i spójne z rezultatami wskazanymi w opisie zadania w części: „Obowiązkowe wskaźniki i rezultaty  realizacji zadania”.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tbl>
      <w:tblPr>
        <w:tblW w:w="9566" w:type="dxa"/>
        <w:jc w:val="left"/>
        <w:tblInd w:w="-16" w:type="dxa"/>
        <w:tblLayout w:type="fixed"/>
        <w:tblCellMar>
          <w:top w:w="0" w:type="dxa"/>
          <w:left w:w="0" w:type="dxa"/>
          <w:bottom w:w="0" w:type="dxa"/>
          <w:right w:w="93" w:type="dxa"/>
        </w:tblCellMar>
      </w:tblPr>
      <w:tblGrid>
        <w:gridCol w:w="9566"/>
      </w:tblGrid>
      <w:tr>
        <w:trPr/>
        <w:tc>
          <w:tcPr>
            <w:tcW w:w="9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Pkt"/>
              <w:widowControl w:val="false"/>
              <w:spacing w:before="60" w:after="60"/>
              <w:ind w:left="0" w:right="0" w:hanging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III. Termin i warunki realizacji zadania</w:t>
            </w:r>
          </w:p>
        </w:tc>
      </w:tr>
    </w:tbl>
    <w:p>
      <w:pPr>
        <w:pStyle w:val="Pkt"/>
        <w:spacing w:before="0" w:after="0"/>
        <w:ind w:left="227" w:right="0" w:hanging="227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Termin realizacji zadania: </w:t>
      </w:r>
      <w:r>
        <w:rPr>
          <w:rFonts w:cs="Arial" w:ascii="Arial" w:hAnsi="Arial"/>
          <w:b/>
          <w:bCs/>
          <w:sz w:val="20"/>
          <w:szCs w:val="20"/>
        </w:rPr>
        <w:t>od podpisania umowy do 31 sierpnia 2023 roku.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Miejsce realizacji zadania: magazyn przy ul. Norwida 2, 43-100 Tychy.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Warunkiem przekazania dotacji jest zawarcie umowy pomiędzy miastem Tychy a podmiotem składającym ofertę. 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Zadanie powinno być realizowane zgodnie z zawartą umową, w zakresie opisanym w ofercie oraz zgodnie z obowiązującymi standardami i przepisami. Szczegółowy sposób realizacji zadania oraz formy finansowania zadania określają wytyczne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2021 ze zmianami (w tym ze zmianami dot. Podprogramu 2021 Plus) – dalej zwane również: „Wytycznymi”. Podmiot realizujący zadanie zobowiązany będzie do współpracy z OPR (organizacją partnerską regionalną) w zakresie działań realizowanych w ramach programu POPŻ, w tym do dystrybucji i działań  w ramach środków towarzyszących. W ramach wyznaczonych standardów podmiot, niebędący jednocześnie zamawiającym w rozumieniu ustawy Pzp,  który w celu realizacji zadania będzie korzystał z usług podmiotów zewnętrznych, zobowiązany będzie do przestrzegania zasad udzielania zamówień zgodnie z załącznikiem </w:t>
      </w:r>
      <w:r>
        <w:rPr>
          <w:rStyle w:val="Domylnaczcionkaakapitu"/>
          <w:rFonts w:cs="Arial" w:ascii="Arial" w:hAnsi="Arial"/>
          <w:color w:val="00000A"/>
          <w:sz w:val="20"/>
          <w:szCs w:val="20"/>
        </w:rPr>
        <w:t xml:space="preserve">nr 13 do w/w Wytycznych. 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  o więcej niż </w:t>
      </w:r>
      <w:r>
        <w:rPr>
          <w:rFonts w:cs="Arial" w:ascii="Arial" w:hAnsi="Arial"/>
          <w:b/>
          <w:sz w:val="20"/>
          <w:szCs w:val="20"/>
        </w:rPr>
        <w:t>15%.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  <w:u w:val="single"/>
        </w:rPr>
        <w:t xml:space="preserve">Zmiany powyżej </w:t>
      </w:r>
      <w:r>
        <w:rPr>
          <w:rFonts w:cs="Arial" w:ascii="Arial" w:hAnsi="Arial"/>
          <w:b/>
          <w:sz w:val="20"/>
          <w:szCs w:val="20"/>
          <w:u w:val="single"/>
        </w:rPr>
        <w:t>15%</w:t>
      </w:r>
      <w:r>
        <w:rPr>
          <w:rFonts w:cs="Arial" w:ascii="Arial" w:hAnsi="Arial"/>
          <w:sz w:val="20"/>
          <w:szCs w:val="20"/>
          <w:u w:val="single"/>
        </w:rPr>
        <w:t xml:space="preserve"> wymagają uzyskania zgody na wprowadzenie zmian i sporządzenia aneksu do umowy.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trakcie realizacji zadania mogą być dokonane zmiany w zakresie przyjętych rezultatów zadania publicznego, dotyczących realizacji dystrybucji artykułów spożywczych, pod warunkiem, że nie nastąpi zmniejszenie planowanego poziomu osiągnięcia danego rezultatu o więcej niż 5%. </w:t>
      </w:r>
      <w:r>
        <w:rPr>
          <w:rFonts w:cs="Arial" w:ascii="Arial" w:hAnsi="Arial"/>
          <w:sz w:val="20"/>
          <w:szCs w:val="20"/>
          <w:u w:val="single"/>
        </w:rPr>
        <w:t>Zmiany przekraczające 5 % założonego rezultatu wymagają uzyskania zgody na wprowadzenie zmian i sporządzenia aneksu do umowy.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Zadanie uznaje się za zrealizowane, jeżeli wszystkie działania zostały zrealizowane a poziom osiągniętych wskaźników rezultatu wynosi co najmniej 95%  - Rozdz. I pkt 3, ppkt 3.1, lit. a oraz 100% - Rozd. I pkt 3, ppkt 3.2, lit. a i b.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Administratorem danych osobowych odbiorców końcowych POPŻ, przetwarzanych w związku z realizacją zadania, jest Miejski Ośrodek Pomocy Społecznej ul. Budowlanych 59, 43-100 Tychy oraz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>Organizacja Partnerska Lokalna (OPL) bezpośrednio wydająca żywność</w:t>
      </w:r>
      <w:r>
        <w:rPr>
          <w:rFonts w:cs="Arial" w:ascii="Arial" w:hAnsi="Arial"/>
          <w:sz w:val="20"/>
          <w:szCs w:val="20"/>
        </w:rPr>
        <w:t>. OPL jest zobowiązana do przetwarzania danych osobowych zgodnie z powszechnienie obowiązującymi przepisami prawa w tym zakresie, w szczególności zgodnie z zapisami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(Dz. Urz. UE. L 2016 Nr 119, str. 1).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o zapewnieniu dostępności osobom ze szczególnymi potrzebami (Dz. U. z 2022r., poz. 2240). Dotyczy to także stron internetowych i aplikacji, jakie będą wykorzystane do realizacji zadania, które spełniają wymagania określone w ustawie z dnia 4 kwietnia 2019 r. o dostępności cyfrowej stron internetowych i aplikacji mobilnych podmiotów publicznych (Dz. U. z 2023 r., poz. 82).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 w zakresie, o którym mowa w art. 6 ustawy o dostępności, podmiot ten jest obowiązany zapewnić takiej osobie dostęp alternatywny.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Do udziału w otwartym konkursie ofert może przystąpić podmiot, który spełni łącznie następujące wymagania formalne: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Prowadzi działalność statutową w obszarze pomocy społecznej, związaną z przeciwdziałaniem wykluczeniu społecznemu oraz prowadzi działania non-profit na rzecz osób najbardziej potrzebujących,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Posiada status Organizacji Partnerskiej Lokalnej, zgodnie z Wytycznymi, potwierdzony stosownym dokumentem,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Dysponuje zasobami osobowymi zdolnymi do realizacji zadania, w tym kadrą posiadającą odpowiednie kwalifikacje/doświadczenie w realizacji zadań związanych z prowadzeniem działań o charakterze włączenia społecznego, potwierdzone stosowną dokumentacją,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doświadczenie w prowadzeniu działań o charakterze włączenia społecznego wobec osób doświadczających deprywacji materialnej w funkcjonowanie społeczności lokalnych, w szczególności poprzez: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zajęcia aktywizujące i wspólne inicjatywy na rzecz społeczności lokalnej, zmierzające</w:t>
        <w:br/>
        <w:t>do wyjścia z ubóstwa,</w:t>
      </w:r>
    </w:p>
    <w:p>
      <w:pPr>
        <w:pStyle w:val="Normal"/>
        <w:spacing w:before="120" w:after="120"/>
        <w:ind w:left="1416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-  </w:t>
      </w:r>
      <w:r>
        <w:rPr>
          <w:rFonts w:ascii="Arial" w:hAnsi="Arial"/>
          <w:sz w:val="20"/>
          <w:szCs w:val="20"/>
        </w:rPr>
        <w:t>grupy wsparcia dla różnych kategorii osób w trudnej sytuacji,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ascii="Arial" w:hAnsi="Arial"/>
          <w:b/>
          <w:bCs/>
          <w:sz w:val="20"/>
          <w:szCs w:val="20"/>
        </w:rPr>
        <w:t xml:space="preserve">- </w:t>
      </w:r>
      <w:r>
        <w:rPr>
          <w:rStyle w:val="Domylnaczcionkaakapitu"/>
          <w:rFonts w:ascii="Arial" w:hAnsi="Arial"/>
          <w:sz w:val="20"/>
          <w:szCs w:val="20"/>
        </w:rPr>
        <w:t>wsparcie psychologiczne / terapeutyczne osób zagrożonych wykluczeniem społecznym,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zdolności administracyjne, tj. zaplecze techniczne umożliwiające: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- właściwą obsługę realizacji operacji dystrybucji w Podprogramie 2021 Plus, tj. m.in. pomieszczenia do obsługi administracyjnej, telefon, komputer,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color w:val="000000"/>
          <w:sz w:val="20"/>
          <w:szCs w:val="20"/>
        </w:rPr>
        <w:t>prowadzenie odrębnej ewidencji magazynowej w formie elektronicznej (przy wykorzystaniu specjalistycznego programu komputerowego) bądź w formie papierowej umożliwiającej czytelne wyodrębnienie poszczególnych operacji magazynowych dla Podprogramu 2021 Plus oraz zidentyfikowanie ścieżki dystrybucji poszczególnych partii artykułów spożywczych,</w:t>
      </w:r>
    </w:p>
    <w:p>
      <w:pPr>
        <w:pStyle w:val="Normal"/>
        <w:spacing w:before="120" w:after="120"/>
        <w:ind w:left="141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- prowadzenie zbiorczej ewidencji magazynowej w ujęciu miesięcznym umożliwiającej prześledzenie dystrybucji każdej partii poszczególnych artykułów spożywczych dostarczonych do magazynu organizacji, zawierającej m.in. oznaczenie partii magazynowej, datę i ilość artykułów spożywczych przyjętych oraz ilość wydanych artykułów spożywczych w ramach danej partii, zgodnie z załącznikiem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  <w:shd w:fill="FFFFFF" w:val="clear"/>
        </w:rPr>
        <w:t xml:space="preserve"> nr 4 Wy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tycznych albo zawierającej informacje, o której mowa w tym załączniku.</w:t>
      </w:r>
    </w:p>
    <w:p>
      <w:pPr>
        <w:pStyle w:val="Normal"/>
        <w:ind w:left="360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tbl>
      <w:tblPr>
        <w:tblW w:w="9458" w:type="dxa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93" w:type="dxa"/>
        </w:tblCellMar>
      </w:tblPr>
      <w:tblGrid>
        <w:gridCol w:w="9458"/>
      </w:tblGrid>
      <w:tr>
        <w:trPr/>
        <w:tc>
          <w:tcPr>
            <w:tcW w:w="9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IV. Termin, miejsce i sposób składania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Ofertę należy przygotować, prawidłowo podpisać i złożyć w nieprzekraczalnym terminie do dnia</w:t>
        <w:br/>
      </w:r>
      <w:r>
        <w:rPr>
          <w:rFonts w:cs="Arial" w:ascii="Arial" w:hAnsi="Arial"/>
          <w:b/>
          <w:bCs/>
          <w:sz w:val="20"/>
          <w:szCs w:val="20"/>
        </w:rPr>
        <w:t>19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eastAsia="Times New Roman" w:cs="Arial" w:ascii="Arial" w:hAnsi="Arial"/>
          <w:b/>
          <w:bCs/>
          <w:color w:val="00000A"/>
          <w:sz w:val="20"/>
          <w:szCs w:val="20"/>
          <w:lang w:val="pl-PL" w:eastAsia="pl-PL" w:bidi="ar-SA"/>
        </w:rPr>
        <w:t>kwietnia</w:t>
      </w:r>
      <w:r>
        <w:rPr>
          <w:rFonts w:cs="Arial" w:ascii="Arial" w:hAnsi="Arial"/>
          <w:b/>
          <w:bCs/>
          <w:sz w:val="20"/>
          <w:szCs w:val="20"/>
        </w:rPr>
        <w:t xml:space="preserve"> 2023 </w:t>
      </w:r>
      <w:r>
        <w:rPr>
          <w:rFonts w:cs="Arial" w:ascii="Arial" w:hAnsi="Arial"/>
          <w:b/>
          <w:sz w:val="20"/>
          <w:szCs w:val="20"/>
        </w:rPr>
        <w:t xml:space="preserve">roku </w:t>
      </w:r>
      <w:r>
        <w:rPr>
          <w:rFonts w:cs="Arial" w:ascii="Arial" w:hAnsi="Arial"/>
          <w:b w:val="false"/>
          <w:bCs w:val="false"/>
          <w:sz w:val="20"/>
          <w:szCs w:val="20"/>
        </w:rPr>
        <w:t>w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color w:val="00000A"/>
          <w:sz w:val="20"/>
          <w:szCs w:val="20"/>
        </w:rPr>
        <w:t xml:space="preserve">Miejskim Ośrodku Pomocy Społecznej ul. Budowlanych 59, 43-100 Tychy, pok. 105 – Kancelaria </w:t>
      </w:r>
      <w:r>
        <w:rPr>
          <w:rFonts w:cs="Arial" w:ascii="Arial" w:hAnsi="Arial"/>
          <w:color w:val="00000A"/>
          <w:sz w:val="20"/>
          <w:szCs w:val="20"/>
        </w:rPr>
        <w:t>lub przesła</w:t>
      </w:r>
      <w:r>
        <w:rPr>
          <w:rFonts w:cs="Arial" w:ascii="Arial" w:hAnsi="Arial"/>
          <w:sz w:val="20"/>
          <w:szCs w:val="20"/>
        </w:rPr>
        <w:t xml:space="preserve">ć pocztą tradycyjną lub przez ePUAP na adres: /mops_tychy/skrytka. </w:t>
      </w:r>
    </w:p>
    <w:p>
      <w:pPr>
        <w:pStyle w:val="ListParagraph"/>
        <w:widowControl/>
        <w:numPr>
          <w:ilvl w:val="0"/>
          <w:numId w:val="2"/>
        </w:numPr>
        <w:suppressAutoHyphens w:val="true"/>
        <w:overflowPunct w:val="false"/>
        <w:bidi w:val="0"/>
        <w:spacing w:before="57" w:after="57"/>
        <w:jc w:val="both"/>
        <w:rPr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W przypadku złożenia oferty konkursowej w formie elektronicznej za pośrednictwem platformy ePUAP, ofertę wraz z załącznikami, należy podpisać kwalifikowanym podpisem elektronicznym lub podpisem zaufanym lub podpisem osobistym oraz przesłać na skrzynkę e-PUAP w nieprzekraczalnym terminie do </w:t>
      </w:r>
      <w:r>
        <w:rPr>
          <w:rFonts w:cs="Arial" w:ascii="Arial" w:hAnsi="Arial"/>
          <w:b/>
          <w:bCs/>
          <w:color w:val="000000"/>
          <w:sz w:val="20"/>
          <w:szCs w:val="20"/>
        </w:rPr>
        <w:t>1</w:t>
      </w:r>
      <w:r>
        <w:rPr>
          <w:rFonts w:cs="Arial" w:ascii="Arial" w:hAnsi="Arial"/>
          <w:b/>
          <w:bCs/>
          <w:color w:val="000000"/>
          <w:sz w:val="20"/>
          <w:szCs w:val="20"/>
        </w:rPr>
        <w:t>9</w:t>
      </w: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 kwietnia 2023 </w:t>
      </w:r>
      <w:r>
        <w:rPr>
          <w:rFonts w:cs="Arial" w:ascii="Arial" w:hAnsi="Arial"/>
          <w:b/>
          <w:color w:val="000000"/>
          <w:sz w:val="20"/>
          <w:szCs w:val="20"/>
        </w:rPr>
        <w:t>roku</w:t>
      </w:r>
      <w:r>
        <w:rPr>
          <w:rFonts w:cs="Arial" w:ascii="Arial" w:hAnsi="Arial"/>
          <w:b/>
          <w:bCs/>
          <w:color w:val="000000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W przypadku składania oferty osobiście, dokument należy złożyć w zamkniętej kopercie.</w:t>
      </w:r>
    </w:p>
    <w:p>
      <w:pPr>
        <w:pStyle w:val="Normal"/>
        <w:numPr>
          <w:ilvl w:val="0"/>
          <w:numId w:val="2"/>
        </w:numPr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 xml:space="preserve">Składając ofertę za pośrednictwem poczty decyduje data wpływu do Miejskiego Ośrodka Pomocy Społecznej w Tychach, przy ul. Budowlanych 59 – nie data nadania w urzędzie pocztowym. 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Oferta powinna zostać podpisana przez osoby do tego upoważnione, zgodnie z KRS lub innym rejestrem/ewidencją lub pełnomocnictwem. Podpis powinien umożliwić weryfikację osób. </w:t>
      </w:r>
    </w:p>
    <w:p>
      <w:pPr>
        <w:pStyle w:val="Normal"/>
        <w:numPr>
          <w:ilvl w:val="0"/>
          <w:numId w:val="2"/>
        </w:numPr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Dopuszcza się możliwość dokonania drobnych poprawek (np. brak daty przy podpisie za zgodność z oryginałem, brak numeru telefonu, błędnie podany organ administracji publicznej) na wezwanie</w:t>
        <w:br/>
        <w:t>e-mailowe lub telefoniczne w terminie podanym przez organizatora konkursu.</w:t>
      </w:r>
    </w:p>
    <w:p>
      <w:pPr>
        <w:pStyle w:val="Normal"/>
        <w:numPr>
          <w:ilvl w:val="0"/>
          <w:numId w:val="2"/>
        </w:numPr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Ofertę realizacji zadania należy sporządzić według rozporządzenia Przewodniczącego Komitetu do spraw Pożytku Publicznego z dnia 24 października 2018 r. w sprawie wzorów ofert i ramowych wzorów umów dotyczących realizacji zadań publicznych oraz</w:t>
      </w:r>
      <w:r>
        <w:rPr>
          <w:rFonts w:cs="Arial" w:ascii="Arial" w:hAnsi="Arial"/>
          <w:sz w:val="20"/>
          <w:szCs w:val="20"/>
        </w:rPr>
        <w:t xml:space="preserve"> wzorów sprawozdań z wykonania tych zadań.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</w:t>
      </w:r>
      <w:r>
        <w:rPr>
          <w:rFonts w:cs="Arial" w:ascii="Arial" w:hAnsi="Arial"/>
          <w:sz w:val="20"/>
          <w:szCs w:val="20"/>
          <w:shd w:fill="FFFFFF" w:val="clear"/>
        </w:rPr>
        <w:t xml:space="preserve">WAGA: 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FFFFFF" w:val="clear"/>
        </w:rPr>
        <w:t>- Część V.C „Podział kosztów realizacji zadania pomiędzy oferentów” oferty należy wypełnić jedynie w przypadku składania oferty wspólnej.</w:t>
      </w:r>
    </w:p>
    <w:p>
      <w:pPr>
        <w:pStyle w:val="Normal"/>
        <w:numPr>
          <w:ilvl w:val="0"/>
          <w:numId w:val="2"/>
        </w:numPr>
        <w:spacing w:before="57" w:after="57"/>
        <w:jc w:val="both"/>
        <w:rPr/>
      </w:pPr>
      <w:r>
        <w:rPr>
          <w:rFonts w:cs="Arial" w:ascii="Arial" w:hAnsi="Arial"/>
          <w:sz w:val="20"/>
          <w:szCs w:val="20"/>
          <w:shd w:fill="FFFFFF" w:val="clear"/>
        </w:rPr>
        <w:t>Jeżeli oferent będzie realizował zadanie również przy użyciu zasobów własnych, nie finansowanych z dotacji, wykazuje je w części VI. - Inne informacje oferty. W Części V.B „Źródła finansowania kosztów realizacji zadania” pozycje 3, 3.1., 3.2., 4. wstawia się „ 0 ” lub wpisuje się „nie dotyczy”.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Wszystkie pozycje formularza oferty muszą zostać wypełnione. W przypadku, gdy dana pozycja oferty nie odnosi się do oferenta lub zadania publicznego, należy </w:t>
      </w:r>
      <w:r>
        <w:rPr>
          <w:rFonts w:cs="Arial" w:ascii="Arial" w:hAnsi="Arial"/>
          <w:sz w:val="20"/>
          <w:szCs w:val="20"/>
          <w:shd w:fill="FFFFFF" w:val="clear"/>
        </w:rPr>
        <w:t>wpisać na przykład „nie dotyczy”.</w:t>
      </w:r>
    </w:p>
    <w:p>
      <w:pPr>
        <w:pStyle w:val="Normal"/>
        <w:numPr>
          <w:ilvl w:val="0"/>
          <w:numId w:val="2"/>
        </w:numPr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Do oferty należy dołączyć</w:t>
      </w:r>
      <w:r>
        <w:rPr>
          <w:rFonts w:cs="Arial" w:ascii="Arial" w:hAnsi="Arial"/>
          <w:b w:val="false"/>
          <w:bCs w:val="false"/>
          <w:sz w:val="20"/>
          <w:szCs w:val="20"/>
        </w:rPr>
        <w:t>: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Kopię dokumentu potwierdzającego wpis do właściwego rejestru i cel działania Podmiotu, chyba, że istnieje możliwość samodzielnego pobrania przez Zleceniodawcę wydruku komputerowego aktualnych informacji o podmiocie wpisanym do Krajowego Rejestru Sądowego. W</w:t>
      </w:r>
      <w:r>
        <w:rPr>
          <w:rFonts w:eastAsia="Arial Unicode MS;Arial;Times New Roman" w:cs="Arial" w:ascii="Arial" w:hAnsi="Arial"/>
          <w:sz w:val="20"/>
          <w:szCs w:val="20"/>
        </w:rPr>
        <w:t xml:space="preserve"> przypadku, gdy oferent nie podlega wpisowi w Krajowym Rejestrze Sądowym – potwierdzona za zgodność z oryginałem kopia aktualnego wyciągu z innego rejestru lub ewidencji, ewentualnie inny dokument potwierdzający osobowość prawną oferenta,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Dokument potwierdzający upoważnienie do działania oferenta (-ów) w przypadku wyboru innego sposobu reprezentacji Oferentów składających ofertę, niż wynikający z Krajowego Rejestru Sądowego lub innego właściwego rejestru,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57" w:after="57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Aktualne pełnomocnictwa zarządu głównego (lub innego organu wykonawczego) do składania ofert, podpisywania umów w tym zakresie, dysponowania uzyskanymi funduszami, dokonywania rozliczeń z tych funduszy – w przypadku oferty składanej przez koła lub oddział terenowy, nie posiadający osobowości prawnej. W przypadku przyznania dotacji umowa zawierana będzie z podmiotem posiadającym osobowość prawną,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/>
      </w:pPr>
      <w:r>
        <w:rPr>
          <w:rFonts w:cs="Arial" w:ascii="Arial" w:hAnsi="Arial"/>
          <w:sz w:val="20"/>
          <w:szCs w:val="20"/>
        </w:rPr>
        <w:t>Kopię dokumentu potwierdzającego posiadanie statusu Organizacji Partnerskiej Lokalnej,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57" w:after="57"/>
        <w:ind w:left="1020" w:right="0" w:hanging="340"/>
        <w:jc w:val="both"/>
        <w:rPr/>
      </w:pPr>
      <w:r>
        <w:rPr>
          <w:rFonts w:cs="Arial" w:ascii="Arial" w:hAnsi="Arial"/>
          <w:sz w:val="20"/>
          <w:szCs w:val="20"/>
        </w:rPr>
        <w:t>Statut podmiotu uprawnionego,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/>
      </w:pPr>
      <w:r>
        <w:rPr>
          <w:rFonts w:cs="Arial" w:ascii="Arial" w:hAnsi="Arial"/>
          <w:sz w:val="20"/>
          <w:szCs w:val="20"/>
        </w:rPr>
        <w:t>Wykaz osób uczestniczących w realizacji zadania wraz z opisem posiadanych kwalifikacji/doświadczenia. Oryginały dokumentów poświadczających kwalifikacje i doświadczenie realizatorów do wglądu, na wyraźne żądanie, przed zawarciem umowy,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57" w:after="57"/>
        <w:ind w:left="1020" w:right="0" w:hanging="340"/>
        <w:jc w:val="both"/>
        <w:rPr/>
      </w:pPr>
      <w:r>
        <w:rPr>
          <w:rFonts w:cs="Arial" w:ascii="Arial" w:hAnsi="Arial"/>
          <w:sz w:val="20"/>
          <w:szCs w:val="20"/>
        </w:rPr>
        <w:t xml:space="preserve">W przypadku oferty wspólnej: należy dołączyć umowę zawartą miedzy podmiotami, określającą zakres ich świadczeń składających się na realizację zadania publicznego. 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eastAsia="Verdana,Bold" w:cs="Arial" w:ascii="Arial" w:hAnsi="Arial"/>
          <w:b/>
          <w:bCs/>
          <w:sz w:val="20"/>
          <w:szCs w:val="20"/>
          <w:u w:val="single"/>
        </w:rPr>
        <w:t>UWAGA</w:t>
      </w:r>
      <w:r>
        <w:rPr>
          <w:rFonts w:eastAsia="Verdana,Bold" w:cs="Arial" w:ascii="Arial" w:hAnsi="Arial"/>
          <w:bCs/>
          <w:sz w:val="20"/>
          <w:szCs w:val="20"/>
        </w:rPr>
        <w:t xml:space="preserve">: </w:t>
      </w:r>
      <w:r>
        <w:rPr>
          <w:rFonts w:cs="Arial" w:ascii="Arial" w:hAnsi="Arial"/>
          <w:sz w:val="20"/>
          <w:szCs w:val="20"/>
        </w:rPr>
        <w:t xml:space="preserve">Oferta, która wpłynie po </w:t>
      </w:r>
      <w:r>
        <w:rPr>
          <w:rFonts w:cs="Arial" w:ascii="Arial" w:hAnsi="Arial"/>
          <w:b/>
          <w:bCs/>
          <w:sz w:val="20"/>
          <w:szCs w:val="20"/>
          <w:u w:val="single"/>
        </w:rPr>
        <w:t>1</w:t>
      </w:r>
      <w:r>
        <w:rPr>
          <w:rFonts w:cs="Arial" w:ascii="Arial" w:hAnsi="Arial"/>
          <w:b/>
          <w:bCs/>
          <w:sz w:val="20"/>
          <w:szCs w:val="20"/>
          <w:u w:val="single"/>
        </w:rPr>
        <w:t>9</w:t>
      </w:r>
      <w:r>
        <w:rPr>
          <w:rFonts w:cs="Arial" w:ascii="Arial" w:hAnsi="Arial"/>
          <w:b/>
          <w:bCs/>
          <w:sz w:val="20"/>
          <w:szCs w:val="20"/>
          <w:u w:val="single"/>
        </w:rPr>
        <w:t xml:space="preserve"> kwietnia </w:t>
      </w:r>
      <w:r>
        <w:rPr>
          <w:rFonts w:cs="Arial" w:ascii="Arial" w:hAnsi="Arial"/>
          <w:b/>
          <w:sz w:val="20"/>
          <w:szCs w:val="20"/>
          <w:u w:val="single"/>
        </w:rPr>
        <w:t>2023 r.</w:t>
      </w:r>
      <w:r>
        <w:rPr>
          <w:rFonts w:cs="Arial" w:ascii="Arial" w:hAnsi="Arial"/>
          <w:sz w:val="20"/>
          <w:szCs w:val="20"/>
        </w:rPr>
        <w:t xml:space="preserve"> nie będzie objęta oceną formalną i merytoryczną.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591" w:type="dxa"/>
        <w:jc w:val="left"/>
        <w:tblInd w:w="-49" w:type="dxa"/>
        <w:tblLayout w:type="fixed"/>
        <w:tblCellMar>
          <w:top w:w="0" w:type="dxa"/>
          <w:left w:w="0" w:type="dxa"/>
          <w:bottom w:w="0" w:type="dxa"/>
          <w:right w:w="93" w:type="dxa"/>
        </w:tblCellMar>
      </w:tblPr>
      <w:tblGrid>
        <w:gridCol w:w="9591"/>
      </w:tblGrid>
      <w:tr>
        <w:trPr/>
        <w:tc>
          <w:tcPr>
            <w:tcW w:w="9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V. Tryb i kryteria stosowane przy wyborze ofert oraz termin dokonania wyboru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Złożona oferta podlega: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>ocenie formalnej, dokonanej przez wyznaczonego pracownika,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ocenie merytorycznej i zaopiniowaniu, którego dokonuje komisja konkursowa, powołana przez Prezydenta Miasta Tychy.</w:t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działać będzie zgodnie z postanowieniami art. 15 ustawy o działalności pożytku publicznego i o wolontariacie oraz zgodnie z Programem Współpracy Miasta Tychy z Organizacjami Pozarządowymi oraz innymi podmiotami prowadzącymi działalność pożytku publicznego na rok 2023.</w:t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Ocena formalna odbywać się będzie w oparciu o następujące kryteria: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oferta wpłynęła w terminie?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Oferent jest uprawniony do udziału w konkursie?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oferta jest prawidłowo podpisana?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i w:val="false"/>
          <w:iCs w:val="false"/>
          <w:color w:val="000000"/>
          <w:sz w:val="20"/>
          <w:szCs w:val="20"/>
        </w:rPr>
        <w:t>Czy oferta jest złożona w sposób określony w ogłoszeniu?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wszystkie wymagane pola zostały wypełnione?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i w:val="false"/>
          <w:iCs w:val="false"/>
          <w:sz w:val="20"/>
          <w:szCs w:val="20"/>
        </w:rPr>
        <w:t>Czy dołączono wymagane załączniki w sposób określony w ogłoszeniu?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i w:val="false"/>
          <w:iCs w:val="false"/>
          <w:sz w:val="20"/>
          <w:szCs w:val="20"/>
        </w:rPr>
        <w:t>Czy kopie są potwierdzone za zgodność z oryginałem (w przypadku składania ich papierowo)?</w:t>
      </w:r>
    </w:p>
    <w:p>
      <w:pPr>
        <w:pStyle w:val="Normal"/>
        <w:numPr>
          <w:ilvl w:val="0"/>
          <w:numId w:val="10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stwierdzenia podczas oceny formalnej, że do oferty nie zostały dołączone wymagane załączniki lub załączniki nie zostały opatrzone podpisem lub w przypadku kopii składnych papierowo - nie zostały potwierdzone za zgodność z oryginałem, oferent zostanie wezwany do uzupełnienia braku formalnego we wskazanym terminie, pod rygorem pozostawienia oferty bez rozpatrzenia. </w:t>
      </w:r>
    </w:p>
    <w:p>
      <w:pPr>
        <w:pStyle w:val="Normal"/>
        <w:numPr>
          <w:ilvl w:val="0"/>
          <w:numId w:val="10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5.1 </w:t>
      </w:r>
      <w:r>
        <w:rPr>
          <w:rFonts w:cs="Arial" w:ascii="Arial" w:hAnsi="Arial"/>
          <w:b/>
          <w:sz w:val="20"/>
          <w:szCs w:val="20"/>
          <w:u w:val="single"/>
        </w:rPr>
        <w:t>ZAWARTOŚĆ MERYTORYCZNA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ocena możliwości i jakości realizacji zadania publicznego oraz kwalifikacji osób, przy udziale których będzie realizowane zadanie (doświadczenie, kompetencje i zaangażowanie)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sz w:val="20"/>
          <w:szCs w:val="20"/>
        </w:rPr>
        <w:t>0 – 17 pkt:</w:t>
      </w:r>
    </w:p>
    <w:p>
      <w:pPr>
        <w:pStyle w:val="Normal"/>
        <w:widowControl/>
        <w:numPr>
          <w:ilvl w:val="0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spójność celu realizacji zadania publicznego określonego w ogłoszeniu konkursowym z ofertą</w:t>
        <w:br/>
        <w:t xml:space="preserve">0 – 1 pkt 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40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(</w:t>
      </w:r>
      <w:r>
        <w:rPr>
          <w:rFonts w:cs="Arial" w:ascii="Arial" w:hAnsi="Arial"/>
          <w:b w:val="false"/>
          <w:bCs w:val="false"/>
          <w:i/>
          <w:sz w:val="20"/>
          <w:szCs w:val="20"/>
          <w:lang w:val="pl-PL" w:bidi="ar-SA"/>
        </w:rPr>
        <w:t>Przyznanie 0 punktów w punkcie „spójność celu realizacji zadania publicznego określonego w ogłoszeniu konkursowym z ofertą”  - wyklucza możliwość otrzymania dotacji)</w:t>
      </w:r>
    </w:p>
    <w:p>
      <w:pPr>
        <w:pStyle w:val="Normal"/>
        <w:widowControl/>
        <w:numPr>
          <w:ilvl w:val="0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przejrzystość syntetycznego opisu działań: opis grupy docelowej, informacja o miejscu realizacji zadania, opis potrzeb realizacji zadania i zgodność z dokumentami strategicznymi miasta 0 – 4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opis planu i harmonogramu działań – czy jasno wynika co w ramach zadania będzie się działo, w tym ocena możliwości realizacji, kompleksowość i atrakcyjność proponowanych działań 0 – 4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spójność rezultatów z ogłoszonym zadaniem konkursowym, adekwatność monitorowania rezultatów 0 – 2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promocja zadania (w tym zasięg promocyjny na terenie miasta Tychy) 0 – 1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opis ryzyk mogących wystąpić w trakcie realizacji zadania 0 – 1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opis zasobów kadrowych, w tym kwalifikacje osób zaangażowanych przy realizacji zadania</w:t>
        <w:br/>
        <w:t>0 – 4 pkt.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400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pl-PL" w:bidi="ar-SA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5.2 </w:t>
      </w:r>
      <w:r>
        <w:rPr>
          <w:rFonts w:cs="Arial" w:ascii="Arial" w:hAnsi="Arial"/>
          <w:b/>
          <w:sz w:val="20"/>
          <w:szCs w:val="20"/>
          <w:u w:val="single"/>
        </w:rPr>
        <w:t>BUDŻET</w:t>
      </w: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 o</w:t>
      </w:r>
      <w:r>
        <w:rPr>
          <w:rFonts w:cs="Arial" w:ascii="Arial" w:hAnsi="Arial"/>
          <w:sz w:val="20"/>
          <w:szCs w:val="20"/>
        </w:rPr>
        <w:t xml:space="preserve">cena przedstawionej kalkulacji kosztów realizacji zadania publicznego, w tym w odniesieniu do zakresu rzeczowego zadania </w:t>
      </w:r>
      <w:r>
        <w:rPr>
          <w:rFonts w:cs="Arial" w:ascii="Arial" w:hAnsi="Arial"/>
          <w:b/>
          <w:bCs/>
          <w:sz w:val="20"/>
          <w:szCs w:val="20"/>
        </w:rPr>
        <w:t>0 – 4 pkt</w:t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numPr>
          <w:ilvl w:val="1"/>
          <w:numId w:val="13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spójność kalkulacji z opisem działań 0 - 2 pkt</w:t>
      </w:r>
    </w:p>
    <w:p>
      <w:pPr>
        <w:pStyle w:val="ListParagraph"/>
        <w:numPr>
          <w:ilvl w:val="1"/>
          <w:numId w:val="13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rzetelność i racjonalność stawek wskazanych w budż</w:t>
      </w:r>
      <w:r>
        <w:rPr>
          <w:rFonts w:cs="Arial" w:ascii="Arial" w:hAnsi="Arial"/>
          <w:sz w:val="20"/>
          <w:szCs w:val="20"/>
          <w:shd w:fill="FFFFFF" w:val="clear"/>
        </w:rPr>
        <w:t>ecie 0 - 2 pkt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80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737" w:right="0" w:firstLine="39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5.3 </w:t>
      </w:r>
      <w:r>
        <w:rPr>
          <w:rFonts w:cs="Arial" w:ascii="Arial" w:hAnsi="Arial"/>
          <w:b/>
          <w:sz w:val="20"/>
          <w:szCs w:val="20"/>
          <w:u w:val="single"/>
        </w:rPr>
        <w:t>DOŚWIADCZENIE W REALIZACJI ZADAŃ W OBSZARZE KONKURSOWYM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w tym analiza i ocena realizacji zleconych zadań publicznych w latach poprzednich, biorąc pod uwagę rzetelność i terminowość oraz sposób rozliczenia otrzymanych na ten cel środków </w:t>
      </w:r>
      <w:r>
        <w:rPr>
          <w:rFonts w:cs="Arial" w:ascii="Arial" w:hAnsi="Arial"/>
          <w:b/>
          <w:bCs/>
          <w:sz w:val="20"/>
          <w:szCs w:val="20"/>
        </w:rPr>
        <w:t>-1 – 2 pkt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widowControl/>
        <w:numPr>
          <w:ilvl w:val="0"/>
          <w:numId w:val="15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współpraca  z miastem Tychy w zakresie pozafinansowym 0 – 1</w:t>
      </w:r>
    </w:p>
    <w:p>
      <w:pPr>
        <w:pStyle w:val="Normal"/>
        <w:widowControl/>
        <w:numPr>
          <w:ilvl w:val="0"/>
          <w:numId w:val="15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współpraca z miastem Tychy w zakresie finansowym :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minus </w:t>
      </w:r>
      <w:r>
        <w:rPr>
          <w:rFonts w:cs="Arial" w:ascii="Arial" w:hAnsi="Arial"/>
          <w:b w:val="false"/>
          <w:bCs w:val="false"/>
          <w:sz w:val="20"/>
          <w:szCs w:val="20"/>
        </w:rPr>
        <w:t>1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– zła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0</w:t>
      </w:r>
      <w:r>
        <w:rPr>
          <w:rFonts w:cs="Arial" w:ascii="Arial" w:hAnsi="Arial"/>
          <w:sz w:val="20"/>
          <w:szCs w:val="20"/>
        </w:rPr>
        <w:t xml:space="preserve"> – brak realizacji zadania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1 </w:t>
      </w:r>
      <w:r>
        <w:rPr>
          <w:rFonts w:cs="Arial" w:ascii="Arial" w:hAnsi="Arial"/>
          <w:sz w:val="20"/>
          <w:szCs w:val="20"/>
        </w:rPr>
        <w:t>– dobra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2 </w:t>
      </w:r>
      <w:r>
        <w:rPr>
          <w:rFonts w:cs="Arial" w:ascii="Arial" w:hAnsi="Arial"/>
          <w:sz w:val="20"/>
          <w:szCs w:val="20"/>
        </w:rPr>
        <w:t>– bardzo dobra.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72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eastAsia="ar-SA"/>
        </w:rPr>
        <w:t xml:space="preserve">Maksymalna liczba punktów do uzyskania - 24 pkt. </w:t>
      </w:r>
      <w:r>
        <w:rPr>
          <w:rFonts w:cs="Arial" w:ascii="Arial" w:hAnsi="Arial"/>
          <w:sz w:val="20"/>
          <w:szCs w:val="20"/>
        </w:rPr>
        <w:t>Minimalna liczba punktów wymagana do pozytywnej oceny merytorycznej to: 15.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Oferta zostaje odrzucona z powodu: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formalnej, tj. niespełnienia któregokolwiek z kryteriów formalnych;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merytorycznej, tj. nie uzyskania minimalnej wymaganej liczby punktów.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Z przebiegu konkursu sporządza się protokół, który jest przekazywany Prezydentowi Miasta lub Zastępcy Prezydenta.</w:t>
      </w:r>
      <w:r>
        <w:rPr>
          <w:rFonts w:cs="Arial" w:ascii="Arial" w:hAnsi="Arial"/>
          <w:color w:val="000000"/>
          <w:sz w:val="20"/>
          <w:szCs w:val="20"/>
        </w:rPr>
        <w:t xml:space="preserve"> 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Protokół, zawiera wykaz wszystkich złożonych ofert w ramach poszczególnych zadań konkursowych ze wskazaniem: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pełnej nazwy oferenta;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nazwy zadania;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 ocenie formalnej oferty;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ocenie merytorycznej – przyznanej liczbie punktów wraz z uzasadnieniem;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wysokości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wnioskowanej i przyznanej dotacji.</w:t>
      </w:r>
    </w:p>
    <w:p>
      <w:pPr>
        <w:pStyle w:val="Normal"/>
        <w:numPr>
          <w:ilvl w:val="0"/>
          <w:numId w:val="0"/>
        </w:numPr>
        <w:ind w:left="2157" w:right="0" w:hang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Wyboru ofert wraz z decyzją o wysokości dotacji dokonuje Prezydent Miasta lub Zastępca Prezydenta ogłaszając wyniki  nie później w ciągu 14 dni od upływu terminu składania ofert.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O wynikach konkursu oferenci zostaną powiadomieni pisemnie w ciągu 7 dni od daty ogłoszenia wyników konkursu.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Od wyników konkursu nie przysługuje odwołanie.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Po zakończeniu konkursu oferty nie będą zwracane.</w:t>
      </w:r>
    </w:p>
    <w:p>
      <w:pPr>
        <w:pStyle w:val="Normal"/>
        <w:numPr>
          <w:ilvl w:val="0"/>
          <w:numId w:val="14"/>
        </w:numPr>
        <w:jc w:val="both"/>
        <w:rPr/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Niniejsze ogłoszenie oraz ogłoszenie wyników konkursu zostaną umieszczone w Biuletynie Informacji Publicznej pod adresem: </w:t>
      </w:r>
      <w:hyperlink r:id="rId2">
        <w:r>
          <w:rPr>
            <w:rStyle w:val="Czeinternetowe"/>
            <w:rFonts w:cs="Arial" w:ascii="Arial" w:hAnsi="Arial"/>
            <w:sz w:val="20"/>
            <w:szCs w:val="20"/>
            <w:highlight w:val="white"/>
          </w:rPr>
          <w:t>http//www.mops.tychy.pl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w zakładce: Konkursy, na tablicy ogłoszeń Miejskiego Ośrodka Pomocy Społecznej w Tychach, na stronie internetowej miasta razemtychy.pl w zakładce NGO – konkursy.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ZASTRZEŻENIA ORGANIZATORA KONKURSU: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360" w:leader="none"/>
          <w:tab w:val="left" w:pos="426" w:leader="none"/>
        </w:tabs>
        <w:suppressAutoHyphens w:val="true"/>
        <w:spacing w:before="120" w:after="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prawo do: 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ind w:left="1068" w:right="0" w:hanging="0"/>
        <w:jc w:val="both"/>
        <w:rPr/>
      </w:pPr>
      <w:r>
        <w:rPr>
          <w:rFonts w:cs="Arial" w:ascii="Arial" w:hAnsi="Arial"/>
          <w:sz w:val="20"/>
          <w:szCs w:val="20"/>
        </w:rPr>
        <w:t>- możliwości przesunięcia terminu składania ofert;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zmiany terminu zakończenia postępowania konkursowego;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unieważnienia konkursu.</w:t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</w:r>
    </w:p>
    <w:p>
      <w:pPr>
        <w:pStyle w:val="Tekstwstpniesformatowany"/>
        <w:tabs>
          <w:tab w:val="clear" w:pos="708"/>
          <w:tab w:val="left" w:pos="190" w:leader="none"/>
        </w:tabs>
        <w:spacing w:lineRule="auto" w:line="240"/>
        <w:jc w:val="center"/>
        <w:rPr/>
      </w:pPr>
      <w:r>
        <w:rPr>
          <w:rStyle w:val="Domylnaczcionkaakapitu"/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  <w:t xml:space="preserve">Klauzula informacyjna dotycząca przetwarzania danych osobowych </w:t>
      </w:r>
      <w:r>
        <w:rPr>
          <w:rStyle w:val="Domylnaczcionkaakapitu"/>
          <w:rFonts w:eastAsia="Times New Roman" w:cs="Arial" w:ascii="Arial" w:hAnsi="Arial"/>
          <w:b/>
          <w:bCs/>
          <w:sz w:val="20"/>
          <w:szCs w:val="20"/>
          <w:lang w:eastAsia="pl-PL"/>
        </w:rPr>
        <w:t xml:space="preserve"> </w:t>
      </w:r>
    </w:p>
    <w:p>
      <w:pPr>
        <w:pStyle w:val="Tekstwstpniesformatowany"/>
        <w:tabs>
          <w:tab w:val="clear" w:pos="708"/>
          <w:tab w:val="left" w:pos="190" w:leader="none"/>
        </w:tabs>
        <w:spacing w:lineRule="auto" w:line="240"/>
        <w:jc w:val="both"/>
        <w:rPr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administratorem danych osobowych w odniesieniu do osób fizycznych jest Miejski Ośrodek Pomocy Społecznej ul. Budowlanych 59, 43-100 Tychy, nr tel. 32 323 22 61, adres e-mail: sekretariat@mops.tychy.pl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>;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Miejski Ośrodek Pomocy Społecznej w Tychach wyznaczył 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i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nspektor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 xml:space="preserve">a ochrony danych osobowych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z którym można się kontaktować pod adresem  e-mail: </w:t>
      </w:r>
      <w:hyperlink r:id="rId3">
        <w:r>
          <w:rPr>
            <w:rStyle w:val="Czeinternetowe"/>
            <w:rFonts w:eastAsia="Times New Roman" w:cs="Arial" w:ascii="Arial" w:hAnsi="Arial"/>
            <w:i/>
            <w:iCs/>
            <w:sz w:val="20"/>
            <w:szCs w:val="20"/>
            <w:lang w:eastAsia="pl-PL"/>
          </w:rPr>
          <w:t>iod@mops.tychy.pl</w:t>
        </w:r>
      </w:hyperlink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, telefon: 32 323 22 74;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będą przetwarzane w celu przeprowadzenia otwartego konkursu ofert na realizację zadania publicznego i zawarcia umowy na: „</w:t>
      </w:r>
      <w:r>
        <w:rPr>
          <w:rStyle w:val="Domylnaczcionkaakapitu"/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pl-PL"/>
        </w:rPr>
        <w:t>Dystrybucję żywności do osób i rodzin najbardziej potrzebujących oraz prowadzenie działań w ramach środków towarzyszących mających na celu wzmacnianie samodzielności i kompetencji w prowadzeniu gospodarstwa domowego”,</w:t>
      </w: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na podstawie art. 6 ust. 1 lit. b) i c) RODO, zgodnie z ustawą z dnia 5 czerwca 1998 r. o samorządzie powiatowym (Dz.U. z 2022 r. poz. 1526 t.j.), ustawą z dnia 24 kwietnia 2003 r. o działalności pożytku publicznego i o wolontariacie (Dz.U. z 2022 r. poz. 1327 z późn. zm.),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</w:t>
      </w:r>
      <w:r>
        <w:rPr>
          <w:rFonts w:cs="Arial" w:ascii="Arial" w:hAnsi="Arial"/>
          <w:sz w:val="20"/>
          <w:szCs w:val="20"/>
        </w:rPr>
        <w:t>Dane osobowe zostaną udostępnione członkom komisji konkursowej, innym uczestnikom konkursu oraz podmiotom, którym dane zostały powierzone do przetwarzania;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Dane osobowe będą przetwarzane do momentu zakończenia realizacji  zadania publicznego a następnie przechowywane przez okres 5 lat zgodnie z Instrukcją Kancelaryjną, a następnie po uzyskaniu pozytywnej opinii Archiwum Państwowego zostaną zbrakowane;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Fonts w:cs="Arial" w:ascii="Arial" w:hAnsi="Arial"/>
          <w:sz w:val="20"/>
          <w:szCs w:val="20"/>
        </w:rPr>
        <w:t>-  O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bowiązek podania danych osobowych jest wymogiem związanym z udziałem w postępowaniu konkursowym. Oferent powinien zapewnić, że wszystkie osoby, których dane osobowe zostaną podane, w związku z ofertą realizacji zadania, wyraziły zgodę na przetwarzanie tych danych na potrzeby przeprowadzenia konkursu;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Podanie danych jest wymogiem ustawowym oraz warunkiem zawarcia umowy i jest dobrowolne, a ich niepodanie skutkować będzie odrzuceniem oferty lub niepodpisaniem umowy;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Dane nie będą podlegały zautomatyzowanemu podejmowaniu decyzji, w tym profilowaniu.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36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/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36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/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36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 xml:space="preserve">Tychy, dnia: 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28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.03.2023 r.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 xml:space="preserve">                       </w:t>
        <w:tab/>
        <w:tab/>
        <w:tab/>
        <w:tab/>
        <w:tab/>
        <w:tab/>
        <w:t xml:space="preserve">   </w:t>
        <w:tab/>
        <w:tab/>
        <w:tab/>
        <w:tab/>
        <w:tab/>
        <w:tab/>
      </w: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 xml:space="preserve">PREZYDENT MIASTA 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ab/>
        <w:t>TYCHY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 xml:space="preserve"> mgr inż. Andrzej Dziuba</w:t>
      </w:r>
      <w:r>
        <w:rPr>
          <w:rStyle w:val="Domylnaczcionkaakapitu"/>
          <w:rFonts w:eastAsia="Times New Roman" w:cs="Calibri" w:ascii="Arial" w:hAnsi="Arial"/>
          <w:b w:val="false"/>
          <w:bCs w:val="false"/>
          <w:sz w:val="20"/>
          <w:szCs w:val="20"/>
          <w:lang w:val="pl-PL" w:eastAsia="pl-PL" w:bidi="ar-SA"/>
        </w:rPr>
        <w:t xml:space="preserve">    </w:t>
      </w:r>
    </w:p>
    <w:sectPr>
      <w:footerReference w:type="default" r:id="rId4"/>
      <w:type w:val="nextPage"/>
      <w:pgSz w:w="11906" w:h="16838"/>
      <w:pgMar w:left="1191" w:right="1191" w:header="0" w:top="1361" w:footer="1247" w:bottom="167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b w:val="false"/>
        <w:bCs w:val="false"/>
        <w:rFonts w:ascii="Arial" w:hAnsi="Arial"/>
        <w:color w:val="00000A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700" w:hanging="720"/>
      </w:pPr>
      <w:rPr>
        <w:sz w:val="20"/>
        <w:b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sz w:val="20"/>
        <w:b w:val="false"/>
        <w:bCs w:val="false"/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6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  <w:rPr>
        <w:b w:val="false"/>
        <w:bCs w:val="false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0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0"/>
        <w:b w:val="false"/>
        <w:bCs w:val="false"/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Arial" w:hAnsi="Arial"/>
      </w:rPr>
    </w:lvl>
    <w:lvl w:ilvl="1">
      <w:start w:val="3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0"/>
        <w:b w:val="false"/>
        <w:bCs w:val="false"/>
        <w:rFonts w:ascii="Arial" w:hAnsi="Arial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3"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0"/>
        <w:b w:val="false"/>
        <w:bCs w:val="false"/>
        <w:rFonts w:ascii="Arial" w:hAnsi="Arial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4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0"/>
        <w:b w:val="false"/>
        <w:bCs w:val="false"/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  <w:b w:val="false"/>
        <w:bCs w:val="false"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6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4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Nagwek2">
    <w:name w:val="Heading 2"/>
    <w:basedOn w:val="Normal"/>
    <w:qFormat/>
    <w:pPr>
      <w:keepNext w:val="true"/>
      <w:keepLines/>
      <w:spacing w:before="200" w:after="0"/>
      <w:outlineLvl w:val="1"/>
    </w:pPr>
    <w:rPr>
      <w:rFonts w:ascii="Cambria" w:hAnsi="Cambria" w:eastAsia="Calibri" w:cs="Times New Roman"/>
      <w:b/>
      <w:bCs/>
      <w:color w:val="4F81BD"/>
      <w:sz w:val="26"/>
      <w:szCs w:val="26"/>
    </w:rPr>
  </w:style>
  <w:style w:type="paragraph" w:styleId="Nagwek3">
    <w:name w:val="Heading 3"/>
    <w:basedOn w:val="Normal"/>
    <w:qFormat/>
    <w:pPr>
      <w:keepNext w:val="true"/>
      <w:keepLines/>
      <w:spacing w:before="200" w:after="0"/>
      <w:outlineLvl w:val="2"/>
    </w:pPr>
    <w:rPr>
      <w:rFonts w:ascii="Cambria" w:hAnsi="Cambria" w:eastAsia="Calibri" w:cs="Times New Roman"/>
      <w:b/>
      <w:bCs/>
      <w:color w:val="4F81BD"/>
    </w:rPr>
  </w:style>
  <w:style w:type="character" w:styleId="DefaultParagraphFont">
    <w:name w:val="Default Paragraph Font"/>
    <w:qFormat/>
    <w:rPr/>
  </w:style>
  <w:style w:type="character" w:styleId="Czeinternetowe">
    <w:name w:val="Łącze internetowe"/>
    <w:basedOn w:val="DefaultParagraphFont"/>
    <w:rPr>
      <w:color w:val="0000FF"/>
      <w:u w:val="single"/>
    </w:rPr>
  </w:style>
  <w:style w:type="character" w:styleId="TekstpodstawowyZnak">
    <w:name w:val="Tekst podstawowy Znak"/>
    <w:basedOn w:val="DefaultParagraphFont"/>
    <w:qFormat/>
    <w:rPr>
      <w:rFonts w:ascii="Times New Roman" w:hAnsi="Times New Roman" w:eastAsia="Times New Roman"/>
      <w:b/>
      <w:sz w:val="22"/>
    </w:rPr>
  </w:style>
  <w:style w:type="character" w:styleId="Strong">
    <w:name w:val="Strong"/>
    <w:basedOn w:val="DefaultParagraphFont"/>
    <w:qFormat/>
    <w:rPr>
      <w:b/>
      <w:bCs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rFonts w:ascii="Times New Roman" w:hAnsi="Times New Roman" w:eastAsia="Times New Roman"/>
    </w:rPr>
  </w:style>
  <w:style w:type="character" w:styleId="TematkomentarzaZnak">
    <w:name w:val="Temat komentarza Znak"/>
    <w:basedOn w:val="TekstkomentarzaZnak"/>
    <w:qFormat/>
    <w:rPr>
      <w:rFonts w:ascii="Times New Roman" w:hAnsi="Times New Roman" w:eastAsia="Times New Roman"/>
      <w:b/>
      <w:bCs/>
    </w:rPr>
  </w:style>
  <w:style w:type="character" w:styleId="Tekstpodstawowy3Znak">
    <w:name w:val="Tekst podstawowy 3 Znak"/>
    <w:basedOn w:val="DefaultParagraphFont"/>
    <w:qFormat/>
    <w:rPr>
      <w:rFonts w:ascii="Arial" w:hAnsi="Arial" w:eastAsia="Times New Roman"/>
      <w:sz w:val="16"/>
      <w:szCs w:val="16"/>
    </w:rPr>
  </w:style>
  <w:style w:type="character" w:styleId="TekstprzypisukocowegoZnak">
    <w:name w:val="Tekst przypisu końcowego Znak"/>
    <w:basedOn w:val="DefaultParagraphFont"/>
    <w:qFormat/>
    <w:rPr>
      <w:rFonts w:ascii="Times New Roman" w:hAnsi="Times New Roman" w:eastAsia="Times New Roman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">
    <w:name w:val="st"/>
    <w:basedOn w:val="DefaultParagraphFont"/>
    <w:qFormat/>
    <w:rPr/>
  </w:style>
  <w:style w:type="character" w:styleId="Wyrnienie">
    <w:name w:val="Wyróżnienie"/>
    <w:basedOn w:val="DefaultParagraphFont"/>
    <w:qFormat/>
    <w:rPr>
      <w:i/>
      <w:iCs/>
    </w:rPr>
  </w:style>
  <w:style w:type="character" w:styleId="Nagwek3Znak">
    <w:name w:val="Nagłówek 3 Znak"/>
    <w:basedOn w:val="DefaultParagraphFont"/>
    <w:qFormat/>
    <w:rPr>
      <w:rFonts w:ascii="Cambria" w:hAnsi="Cambria" w:eastAsia="Calibri" w:cs="Times New Roman"/>
      <w:b/>
      <w:bCs/>
      <w:color w:val="4F81BD"/>
      <w:sz w:val="24"/>
      <w:szCs w:val="24"/>
    </w:rPr>
  </w:style>
  <w:style w:type="character" w:styleId="Teksttreci2">
    <w:name w:val="Tekst treści (2)_"/>
    <w:qFormat/>
    <w:rPr>
      <w:rFonts w:ascii="Times New Roman" w:hAnsi="Times New Roman" w:eastAsia="Times New Roman"/>
      <w:highlight w:val="white"/>
    </w:rPr>
  </w:style>
  <w:style w:type="character" w:styleId="Teksttreci27pt">
    <w:name w:val="Tekst treści (2) + 7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Color2">
    <w:name w:val="color_2"/>
    <w:basedOn w:val="DefaultParagraphFont"/>
    <w:qFormat/>
    <w:rPr/>
  </w:style>
  <w:style w:type="character" w:styleId="HTMLwstpniesformatowanyZnak">
    <w:name w:val="HTML - wstępnie sformatowany Znak"/>
    <w:basedOn w:val="DefaultParagraphFont"/>
    <w:qFormat/>
    <w:rPr>
      <w:rFonts w:ascii="Courier New" w:hAnsi="Courier New" w:eastAsia="Times New Roman"/>
    </w:rPr>
  </w:style>
  <w:style w:type="character" w:styleId="Description">
    <w:name w:val="description"/>
    <w:basedOn w:val="DefaultParagraphFont"/>
    <w:qFormat/>
    <w:rPr/>
  </w:style>
  <w:style w:type="character" w:styleId="Ngbinding">
    <w:name w:val="ng-binding"/>
    <w:basedOn w:val="DefaultParagraphFont"/>
    <w:qFormat/>
    <w:rPr/>
  </w:style>
  <w:style w:type="character" w:styleId="Nagwek2Znak">
    <w:name w:val="Nagłówek 2 Znak"/>
    <w:basedOn w:val="DefaultParagraphFont"/>
    <w:qFormat/>
    <w:rPr>
      <w:rFonts w:ascii="Cambria" w:hAnsi="Cambria" w:eastAsia="Calibri" w:cs="Times New Roman"/>
      <w:b/>
      <w:bCs/>
      <w:color w:val="4F81BD"/>
      <w:sz w:val="26"/>
      <w:szCs w:val="26"/>
    </w:rPr>
  </w:style>
  <w:style w:type="character" w:styleId="NagwekZnak">
    <w:name w:val="Nagłówek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StopkaZnak">
    <w:name w:val="Stopka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Domylnaczcionkaakapitu">
    <w:name w:val="Domyślna czcionka akapitu"/>
    <w:qFormat/>
    <w:rPr/>
  </w:style>
  <w:style w:type="character" w:styleId="WWCharLFO18LVL1">
    <w:name w:val="WW_CharLFO18LVL1"/>
    <w:qFormat/>
    <w:rPr>
      <w:rFonts w:ascii="StarSymbol" w:hAnsi="StarSymbol" w:eastAsia="OpenSymbol" w:cs="OpenSymbol"/>
    </w:rPr>
  </w:style>
  <w:style w:type="character" w:styleId="WWCharLFO18LVL2">
    <w:name w:val="WW_CharLFO18LVL2"/>
    <w:qFormat/>
    <w:rPr>
      <w:rFonts w:ascii="StarSymbol" w:hAnsi="StarSymbol" w:eastAsia="OpenSymbol" w:cs="OpenSymbol"/>
    </w:rPr>
  </w:style>
  <w:style w:type="character" w:styleId="WWCharLFO18LVL3">
    <w:name w:val="WW_CharLFO18LVL3"/>
    <w:qFormat/>
    <w:rPr>
      <w:rFonts w:ascii="StarSymbol" w:hAnsi="StarSymbol" w:eastAsia="OpenSymbol" w:cs="OpenSymbol"/>
    </w:rPr>
  </w:style>
  <w:style w:type="character" w:styleId="WWCharLFO18LVL4">
    <w:name w:val="WW_CharLFO18LVL4"/>
    <w:qFormat/>
    <w:rPr>
      <w:rFonts w:ascii="StarSymbol" w:hAnsi="StarSymbol" w:eastAsia="OpenSymbol" w:cs="OpenSymbol"/>
    </w:rPr>
  </w:style>
  <w:style w:type="character" w:styleId="WWCharLFO18LVL5">
    <w:name w:val="WW_CharLFO18LVL5"/>
    <w:qFormat/>
    <w:rPr>
      <w:rFonts w:ascii="StarSymbol" w:hAnsi="StarSymbol" w:eastAsia="OpenSymbol" w:cs="OpenSymbol"/>
    </w:rPr>
  </w:style>
  <w:style w:type="character" w:styleId="WWCharLFO18LVL6">
    <w:name w:val="WW_CharLFO18LVL6"/>
    <w:qFormat/>
    <w:rPr>
      <w:rFonts w:ascii="StarSymbol" w:hAnsi="StarSymbol" w:eastAsia="OpenSymbol" w:cs="OpenSymbol"/>
    </w:rPr>
  </w:style>
  <w:style w:type="character" w:styleId="WWCharLFO18LVL7">
    <w:name w:val="WW_CharLFO18LVL7"/>
    <w:qFormat/>
    <w:rPr>
      <w:rFonts w:ascii="StarSymbol" w:hAnsi="StarSymbol" w:eastAsia="OpenSymbol" w:cs="OpenSymbol"/>
    </w:rPr>
  </w:style>
  <w:style w:type="character" w:styleId="WWCharLFO18LVL8">
    <w:name w:val="WW_CharLFO18LVL8"/>
    <w:qFormat/>
    <w:rPr>
      <w:rFonts w:ascii="StarSymbol" w:hAnsi="StarSymbol" w:eastAsia="OpenSymbol" w:cs="OpenSymbol"/>
    </w:rPr>
  </w:style>
  <w:style w:type="character" w:styleId="WWCharLFO18LVL9">
    <w:name w:val="WW_CharLFO18LVL9"/>
    <w:qFormat/>
    <w:rPr>
      <w:rFonts w:ascii="StarSymbol" w:hAnsi="StarSymbol" w:eastAsia="OpenSymbol" w:cs="OpenSymbol"/>
    </w:rPr>
  </w:style>
  <w:style w:type="character" w:styleId="WWCharLFO17LVL3">
    <w:name w:val="WW_CharLFO17LVL3"/>
    <w:qFormat/>
    <w:rPr>
      <w:rFonts w:ascii="StarSymbol" w:hAnsi="StarSymbol"/>
    </w:rPr>
  </w:style>
  <w:style w:type="character" w:styleId="WWCharLFO17LVL4">
    <w:name w:val="WW_CharLFO17LVL4"/>
    <w:qFormat/>
    <w:rPr>
      <w:rFonts w:ascii="StarSymbol" w:hAnsi="StarSymbol"/>
    </w:rPr>
  </w:style>
  <w:style w:type="character" w:styleId="WWCharLFO17LVL5">
    <w:name w:val="WW_CharLFO17LVL5"/>
    <w:qFormat/>
    <w:rPr>
      <w:rFonts w:ascii="StarSymbol" w:hAnsi="StarSymbol"/>
    </w:rPr>
  </w:style>
  <w:style w:type="character" w:styleId="WWCharLFO17LVL6">
    <w:name w:val="WW_CharLFO17LVL6"/>
    <w:qFormat/>
    <w:rPr>
      <w:rFonts w:ascii="StarSymbol" w:hAnsi="StarSymbol"/>
    </w:rPr>
  </w:style>
  <w:style w:type="character" w:styleId="WWCharLFO17LVL7">
    <w:name w:val="WW_CharLFO17LVL7"/>
    <w:qFormat/>
    <w:rPr>
      <w:rFonts w:ascii="StarSymbol" w:hAnsi="StarSymbol"/>
    </w:rPr>
  </w:style>
  <w:style w:type="character" w:styleId="WWCharLFO17LVL8">
    <w:name w:val="WW_CharLFO17LVL8"/>
    <w:qFormat/>
    <w:rPr>
      <w:rFonts w:ascii="StarSymbol" w:hAnsi="StarSymbol"/>
    </w:rPr>
  </w:style>
  <w:style w:type="character" w:styleId="WWCharLFO17LVL9">
    <w:name w:val="WW_CharLFO17LVL9"/>
    <w:qFormat/>
    <w:rPr>
      <w:rFonts w:ascii="StarSymbol" w:hAnsi="StarSymbol"/>
    </w:rPr>
  </w:style>
  <w:style w:type="character" w:styleId="Znakinumeracji">
    <w:name w:val="Znaki numeracji"/>
    <w:qFormat/>
    <w:rPr>
      <w:b w:val="false"/>
      <w:bCs w:val="false"/>
    </w:rPr>
  </w:style>
  <w:style w:type="character" w:styleId="WWCharLFO19LVL3">
    <w:name w:val="WW_CharLFO19LVL3"/>
    <w:qFormat/>
    <w:rPr>
      <w:rFonts w:ascii="StarSymbol" w:hAnsi="StarSymbol"/>
    </w:rPr>
  </w:style>
  <w:style w:type="character" w:styleId="WWCharLFO19LVL4">
    <w:name w:val="WW_CharLFO19LVL4"/>
    <w:qFormat/>
    <w:rPr>
      <w:rFonts w:ascii="StarSymbol" w:hAnsi="StarSymbol"/>
    </w:rPr>
  </w:style>
  <w:style w:type="character" w:styleId="WWCharLFO19LVL5">
    <w:name w:val="WW_CharLFO19LVL5"/>
    <w:qFormat/>
    <w:rPr>
      <w:rFonts w:ascii="StarSymbol" w:hAnsi="StarSymbol"/>
    </w:rPr>
  </w:style>
  <w:style w:type="character" w:styleId="WWCharLFO19LVL6">
    <w:name w:val="WW_CharLFO19LVL6"/>
    <w:qFormat/>
    <w:rPr>
      <w:rFonts w:ascii="StarSymbol" w:hAnsi="StarSymbol"/>
    </w:rPr>
  </w:style>
  <w:style w:type="character" w:styleId="WWCharLFO19LVL7">
    <w:name w:val="WW_CharLFO19LVL7"/>
    <w:qFormat/>
    <w:rPr>
      <w:rFonts w:ascii="StarSymbol" w:hAnsi="StarSymbol"/>
    </w:rPr>
  </w:style>
  <w:style w:type="character" w:styleId="WWCharLFO19LVL8">
    <w:name w:val="WW_CharLFO19LVL8"/>
    <w:qFormat/>
    <w:rPr>
      <w:rFonts w:ascii="StarSymbol" w:hAnsi="StarSymbol"/>
    </w:rPr>
  </w:style>
  <w:style w:type="character" w:styleId="WWCharLFO19LVL9">
    <w:name w:val="WW_CharLFO19LVL9"/>
    <w:qFormat/>
    <w:rPr>
      <w:rFonts w:ascii="StarSymbol" w:hAnsi="StarSymbol"/>
    </w:rPr>
  </w:style>
  <w:style w:type="character" w:styleId="WWCharLFO21LVL3">
    <w:name w:val="WW_CharLFO21LVL3"/>
    <w:qFormat/>
    <w:rPr>
      <w:rFonts w:ascii="StarSymbol" w:hAnsi="StarSymbol"/>
    </w:rPr>
  </w:style>
  <w:style w:type="character" w:styleId="WWCharLFO21LVL4">
    <w:name w:val="WW_CharLFO21LVL4"/>
    <w:qFormat/>
    <w:rPr>
      <w:rFonts w:ascii="StarSymbol" w:hAnsi="StarSymbol"/>
    </w:rPr>
  </w:style>
  <w:style w:type="character" w:styleId="WWCharLFO21LVL5">
    <w:name w:val="WW_CharLFO21LVL5"/>
    <w:qFormat/>
    <w:rPr>
      <w:rFonts w:ascii="StarSymbol" w:hAnsi="StarSymbol"/>
    </w:rPr>
  </w:style>
  <w:style w:type="character" w:styleId="WWCharLFO21LVL6">
    <w:name w:val="WW_CharLFO21LVL6"/>
    <w:qFormat/>
    <w:rPr>
      <w:rFonts w:ascii="StarSymbol" w:hAnsi="StarSymbol"/>
    </w:rPr>
  </w:style>
  <w:style w:type="character" w:styleId="WWCharLFO21LVL7">
    <w:name w:val="WW_CharLFO21LVL7"/>
    <w:qFormat/>
    <w:rPr>
      <w:rFonts w:ascii="StarSymbol" w:hAnsi="StarSymbol"/>
    </w:rPr>
  </w:style>
  <w:style w:type="character" w:styleId="WWCharLFO21LVL8">
    <w:name w:val="WW_CharLFO21LVL8"/>
    <w:qFormat/>
    <w:rPr>
      <w:rFonts w:ascii="StarSymbol" w:hAnsi="StarSymbol"/>
    </w:rPr>
  </w:style>
  <w:style w:type="character" w:styleId="WWCharLFO21LVL9">
    <w:name w:val="WW_CharLFO21LVL9"/>
    <w:qFormat/>
    <w:rPr>
      <w:rFonts w:ascii="StarSymbol" w:hAnsi="StarSymbol"/>
    </w:rPr>
  </w:style>
  <w:style w:type="character" w:styleId="WWCharLFO20LVL3">
    <w:name w:val="WW_CharLFO20LVL3"/>
    <w:qFormat/>
    <w:rPr>
      <w:rFonts w:ascii="StarSymbol" w:hAnsi="StarSymbol"/>
    </w:rPr>
  </w:style>
  <w:style w:type="character" w:styleId="WWCharLFO20LVL4">
    <w:name w:val="WW_CharLFO20LVL4"/>
    <w:qFormat/>
    <w:rPr>
      <w:rFonts w:ascii="StarSymbol" w:hAnsi="StarSymbol"/>
    </w:rPr>
  </w:style>
  <w:style w:type="character" w:styleId="WWCharLFO20LVL5">
    <w:name w:val="WW_CharLFO20LVL5"/>
    <w:qFormat/>
    <w:rPr>
      <w:rFonts w:ascii="StarSymbol" w:hAnsi="StarSymbol"/>
    </w:rPr>
  </w:style>
  <w:style w:type="character" w:styleId="WWCharLFO20LVL6">
    <w:name w:val="WW_CharLFO20LVL6"/>
    <w:qFormat/>
    <w:rPr>
      <w:rFonts w:ascii="StarSymbol" w:hAnsi="StarSymbol"/>
    </w:rPr>
  </w:style>
  <w:style w:type="character" w:styleId="WWCharLFO20LVL7">
    <w:name w:val="WW_CharLFO20LVL7"/>
    <w:qFormat/>
    <w:rPr>
      <w:rFonts w:ascii="StarSymbol" w:hAnsi="StarSymbol"/>
    </w:rPr>
  </w:style>
  <w:style w:type="character" w:styleId="WWCharLFO20LVL8">
    <w:name w:val="WW_CharLFO20LVL8"/>
    <w:qFormat/>
    <w:rPr>
      <w:rFonts w:ascii="StarSymbol" w:hAnsi="StarSymbol"/>
    </w:rPr>
  </w:style>
  <w:style w:type="character" w:styleId="WWCharLFO20LVL9">
    <w:name w:val="WW_CharLFO20LVL9"/>
    <w:qFormat/>
    <w:rPr>
      <w:rFonts w:ascii="StarSymbol" w:hAnsi="StarSymbol"/>
    </w:rPr>
  </w:style>
  <w:style w:type="character" w:styleId="WW8Num5z0">
    <w:name w:val="WW8Num5z0"/>
    <w:qFormat/>
    <w:rPr>
      <w:rFonts w:ascii="Wingdings" w:hAnsi="Wingdings" w:eastAsia="Times New Roman" w:cs="Mangal"/>
      <w:color w:val="000000"/>
      <w:sz w:val="21"/>
      <w:szCs w:val="21"/>
      <w:lang w:eastAsia="pl-P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Hipercze">
    <w:name w:val="Hiperłącze"/>
    <w:qFormat/>
    <w:rPr>
      <w:color w:val="0000FF"/>
      <w:u w:val="single"/>
    </w:rPr>
  </w:style>
  <w:style w:type="character" w:styleId="WW8Num4z0">
    <w:name w:val="WW8Num4z0"/>
    <w:qFormat/>
    <w:rPr>
      <w:rFonts w:ascii="Times New Roman" w:hAnsi="Times New Roman" w:cs="Mangal"/>
      <w:sz w:val="21"/>
      <w:szCs w:val="21"/>
      <w:lang w:eastAsia="pl-PL" w:bidi="ar-SA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WW8Num7z0">
    <w:name w:val="WW8Num7z0"/>
    <w:qFormat/>
    <w:rPr>
      <w:rFonts w:ascii="Arial" w:hAnsi="Arial" w:cs="Arial"/>
      <w:b w:val="false"/>
      <w:bCs w:val="false"/>
      <w:color w:val="000000"/>
      <w:sz w:val="22"/>
      <w:szCs w:val="22"/>
    </w:rPr>
  </w:style>
  <w:style w:type="character" w:styleId="WW8Num7z1">
    <w:name w:val="WW8Num7z1"/>
    <w:qFormat/>
    <w:rPr>
      <w:rFonts w:ascii="Arial" w:hAnsi="Arial" w:eastAsia="Arial Unicode MS;Arial" w:cs="Arial"/>
      <w:b w:val="false"/>
      <w:bCs w:val="false"/>
      <w:color w:val="000000"/>
      <w:sz w:val="22"/>
      <w:szCs w:val="2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pPr>
      <w:overflowPunct w:val="true"/>
      <w:jc w:val="both"/>
    </w:pPr>
    <w:rPr>
      <w:b/>
      <w:sz w:val="22"/>
      <w:szCs w:val="20"/>
    </w:rPr>
  </w:style>
  <w:style w:type="paragraph" w:styleId="Lista">
    <w:name w:val="List"/>
    <w:basedOn w:val="Tretekstu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Pkt">
    <w:name w:val="pkt"/>
    <w:basedOn w:val="Normal"/>
    <w:qFormat/>
    <w:pPr>
      <w:spacing w:before="60" w:after="60"/>
      <w:ind w:left="851" w:right="0" w:hanging="295"/>
      <w:jc w:val="both"/>
    </w:pPr>
    <w:rPr/>
  </w:style>
  <w:style w:type="paragraph" w:styleId="ListParagraph">
    <w:name w:val="List Paragraph"/>
    <w:basedOn w:val="Normal"/>
    <w:qFormat/>
    <w:pPr>
      <w:ind w:left="426" w:right="0" w:hanging="0"/>
      <w:jc w:val="both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BodyText3">
    <w:name w:val="Body Text 3"/>
    <w:basedOn w:val="Normal"/>
    <w:qFormat/>
    <w:pPr>
      <w:spacing w:before="0" w:after="120"/>
    </w:pPr>
    <w:rPr>
      <w:rFonts w:ascii="Arial" w:hAnsi="Arial"/>
      <w:sz w:val="16"/>
      <w:szCs w:val="16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EndnoteSymbol">
    <w:name w:val="Endnote Symbol"/>
    <w:basedOn w:val="Normal"/>
    <w:qFormat/>
    <w:pPr/>
    <w:rPr>
      <w:sz w:val="20"/>
      <w:szCs w:val="20"/>
    </w:rPr>
  </w:style>
  <w:style w:type="paragraph" w:styleId="Nagwek1">
    <w:name w:val="Nagłówek1"/>
    <w:basedOn w:val="Normal"/>
    <w:qFormat/>
    <w:pPr>
      <w:suppressAutoHyphens w:val="true"/>
      <w:jc w:val="center"/>
    </w:pPr>
    <w:rPr>
      <w:rFonts w:ascii="Arial" w:hAnsi="Arial" w:cs="Arial"/>
      <w:b/>
      <w:sz w:val="20"/>
      <w:lang w:eastAsia="zh-CN"/>
    </w:rPr>
  </w:style>
  <w:style w:type="paragraph" w:styleId="Akapitzlist1">
    <w:name w:val="Akapit z listą1"/>
    <w:basedOn w:val="Normal"/>
    <w:qFormat/>
    <w:pPr>
      <w:suppressAutoHyphens w:val="true"/>
      <w:ind w:left="708" w:right="0" w:hanging="0"/>
    </w:pPr>
    <w:rPr>
      <w:rFonts w:eastAsia="Calibri"/>
      <w:lang w:eastAsia="zh-CN"/>
    </w:rPr>
  </w:style>
  <w:style w:type="paragraph" w:styleId="Teksttreci21">
    <w:name w:val="Tekst treści (2)"/>
    <w:basedOn w:val="Normal"/>
    <w:qFormat/>
    <w:pPr>
      <w:widowControl w:val="false"/>
      <w:shd w:val="clear" w:fill="FFFFFF"/>
      <w:spacing w:lineRule="exact" w:line="230" w:before="360" w:after="360"/>
      <w:ind w:left="0" w:right="0" w:hanging="400"/>
      <w:jc w:val="both"/>
    </w:pPr>
    <w:rPr>
      <w:sz w:val="20"/>
      <w:szCs w:val="20"/>
    </w:rPr>
  </w:style>
  <w:style w:type="paragraph" w:styleId="Font8">
    <w:name w:val="font_8"/>
    <w:basedOn w:val="Normal"/>
    <w:qFormat/>
    <w:pPr>
      <w:spacing w:before="280" w:after="280"/>
    </w:pPr>
    <w:rPr/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</w:pPr>
    <w:rPr>
      <w:rFonts w:eastAsia="Lucida Sans Unicode" w:cs="Tahoma"/>
      <w:lang w:eastAsia="hi-IN" w:bidi="hi-IN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;Times New Roman" w:hAnsi="Liberation Serif;Times New Roman" w:eastAsia="Lucida Sans Unicode" w:cs="Liberation Serif;Times New Roman"/>
      <w:color w:val="00000A"/>
      <w:kern w:val="0"/>
      <w:sz w:val="24"/>
      <w:szCs w:val="24"/>
      <w:lang w:val="pl-PL" w:eastAsia="zh-CN" w:bidi="hi-IN"/>
    </w:rPr>
  </w:style>
  <w:style w:type="paragraph" w:styleId="Akapitzlist">
    <w:name w:val="Akapit z listą"/>
    <w:basedOn w:val="Normalny"/>
    <w:qFormat/>
    <w:pPr>
      <w:suppressAutoHyphens w:val="true"/>
      <w:spacing w:before="0" w:after="160"/>
      <w:ind w:left="720" w:right="0" w:hanging="0"/>
    </w:pPr>
    <w:rPr/>
  </w:style>
  <w:style w:type="paragraph" w:styleId="Tekstwstpniesformatowany">
    <w:name w:val="Tekst wstępnie sformatowany"/>
    <w:basedOn w:val="Normalny"/>
    <w:qFormat/>
    <w:pPr>
      <w:widowControl/>
      <w:suppressAutoHyphens w:val="true"/>
      <w:spacing w:lineRule="auto" w:line="276"/>
      <w:jc w:val="both"/>
      <w:textAlignment w:val="auto"/>
    </w:pPr>
    <w:rPr>
      <w:rFonts w:ascii="Liberation Mono;Courier New" w:hAnsi="Liberation Mono;Courier New" w:eastAsia="Courier New" w:cs="Liberation Mono;Courier New"/>
      <w:sz w:val="20"/>
      <w:szCs w:val="20"/>
      <w:lang w:bidi="ar-SA"/>
    </w:rPr>
  </w:style>
  <w:style w:type="paragraph" w:styleId="Nagwektabeli">
    <w:name w:val="Nagłówek tabeli"/>
    <w:basedOn w:val="Zawartotabeli"/>
    <w:qFormat/>
    <w:pPr/>
    <w:rPr/>
  </w:style>
  <w:style w:type="numbering" w:styleId="NoList">
    <w:name w:val="No List"/>
    <w:qFormat/>
  </w:style>
  <w:style w:type="numbering" w:styleId="WW8Num5">
    <w:name w:val="WW8Num5"/>
    <w:qFormat/>
  </w:style>
  <w:style w:type="numbering" w:styleId="WW8Num4">
    <w:name w:val="WW8Num4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ops.tychy.pl/" TargetMode="External"/><Relationship Id="rId3" Type="http://schemas.openxmlformats.org/officeDocument/2006/relationships/hyperlink" Target="mailto:iod@mops.tychy.pl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Application>LibreOffice/7.0.4.2$Linux_X86_64 LibreOffice_project/00$Build-2</Application>
  <AppVersion>15.0000</AppVersion>
  <Pages>8</Pages>
  <Words>3554</Words>
  <Characters>23001</Characters>
  <CharactersWithSpaces>26404</CharactersWithSpaces>
  <Paragraphs>177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2019-07-17T12:49:00Z</dcterms:created>
  <dc:creator>dmajcher</dc:creator>
  <dc:description/>
  <dc:language>pl-PL</dc:language>
  <cp:lastModifiedBy/>
  <cp:lastPrinted>2023-03-27T08:18:46Z</cp:lastPrinted>
  <dcterms:modified xsi:type="dcterms:W3CDTF">2023-03-28T11:56:15Z</dcterms:modified>
  <cp:revision>284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